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70563" cy="612000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rb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70563" cy="61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2.80pt;height:48.19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/>
    </w:p>
    <w:p>
      <w:pPr>
        <w:jc w:val="center"/>
      </w:pPr>
      <w:r/>
      <w:r/>
    </w:p>
    <w:p>
      <w:pPr>
        <w:jc w:val="center"/>
        <w:tabs>
          <w:tab w:val="left" w:pos="2880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РЕГИОНАЛЬНАЯ СЛУЖБА ПО ТАРИФАМ</w:t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ХАНТЫ-МАНСИЙСКОГО АВТОНОМНОГО ОКРУГА </w:t>
      </w:r>
      <w:r>
        <w:rPr>
          <w:rFonts w:eastAsia="Calibri"/>
          <w:sz w:val="28"/>
          <w:szCs w:val="28"/>
          <w:lang w:eastAsia="en-US"/>
        </w:rPr>
        <w:t xml:space="preserve">– </w:t>
      </w:r>
      <w:r>
        <w:rPr>
          <w:b/>
          <w:sz w:val="28"/>
          <w:szCs w:val="28"/>
        </w:rPr>
        <w:t xml:space="preserve">ЮГРЫ</w:t>
      </w:r>
      <w:r>
        <w:rPr>
          <w:b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(РСТ ЮГРЫ)</w:t>
      </w:r>
      <w:r>
        <w:rPr>
          <w:b/>
          <w:sz w:val="28"/>
          <w:szCs w:val="28"/>
        </w:rPr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center"/>
      </w:pPr>
      <w:r>
        <w:t xml:space="preserve">ул. Студенческая, </w:t>
      </w:r>
      <w:r>
        <w:t xml:space="preserve">зд</w:t>
      </w:r>
      <w:r>
        <w:t xml:space="preserve">. 22, Ханты-Мансийск, Ханты-Мансийский автономный округ – Югра, 628011, Тел./факс: (3467) 36-01-36; </w:t>
      </w:r>
      <w:r>
        <w:rPr>
          <w:lang w:val="en-US"/>
        </w:rPr>
        <w:t xml:space="preserve">e</w:t>
      </w:r>
      <w:r>
        <w:t xml:space="preserve">-</w:t>
      </w:r>
      <w:r>
        <w:rPr>
          <w:lang w:val="en-US"/>
        </w:rPr>
        <w:t xml:space="preserve">mail</w:t>
      </w:r>
      <w:r>
        <w:t xml:space="preserve">: </w:t>
      </w:r>
      <w:r>
        <w:rPr>
          <w:lang w:val="en-US"/>
        </w:rPr>
        <w:t xml:space="preserve">rst</w:t>
      </w:r>
      <w:r>
        <w:t xml:space="preserve">@</w:t>
      </w:r>
      <w:r>
        <w:rPr>
          <w:lang w:val="en-US"/>
        </w:rPr>
        <w:t xml:space="preserve">admhmao</w:t>
      </w:r>
      <w:r>
        <w:t xml:space="preserve">.</w:t>
      </w:r>
      <w:r>
        <w:rPr>
          <w:lang w:val="en-US"/>
        </w:rPr>
        <w:t xml:space="preserve">ru</w:t>
      </w:r>
      <w:r>
        <w:t xml:space="preserve">; https://rst.admhmao.ru</w:t>
      </w:r>
      <w:r/>
    </w:p>
    <w:p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10160</wp:posOffset>
                </wp:positionH>
                <wp:positionV relativeFrom="paragraph">
                  <wp:posOffset>73660</wp:posOffset>
                </wp:positionV>
                <wp:extent cx="5753100" cy="0"/>
                <wp:effectExtent l="0" t="0" r="19050" b="19050"/>
                <wp:wrapNone/>
                <wp:docPr id="2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753100" cy="0"/>
                        </a:xfrm>
                        <a:prstGeom prst="line">
                          <a:avLst/>
                        </a:prstGeom>
                        <a:noFill/>
                        <a:ln w="19050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hape 1" o:spid="_x0000_s1" style="position:absolute;left:0;text-align:left;z-index:251656704;mso-wrap-distance-left:9.00pt;mso-wrap-distance-top:0.00pt;mso-wrap-distance-right:9.00pt;mso-wrap-distance-bottom:0.00pt;visibility:visible;" from="0.8pt,5.8pt" to="453.8pt,5.8pt" filled="f" strokecolor="#000000" strokeweight="1.50pt"/>
            </w:pict>
          </mc:Fallback>
        </mc:AlternateContent>
      </w:r>
      <w:r>
        <w:tab/>
      </w:r>
      <w:r/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4224"/>
        <w:gridCol w:w="4848"/>
      </w:tblGrid>
      <w:tr>
        <w:tblPrEx/>
        <w:trPr>
          <w:trHeight w:val="1993"/>
        </w:trPr>
        <w:tc>
          <w:tcPr>
            <w:tcW w:w="4224" w:type="dxa"/>
            <w:textDirection w:val="lrTb"/>
            <w:noWrap w:val="false"/>
          </w:tcPr>
          <w:p>
            <w:pPr>
              <w:ind w:hanging="108"/>
              <w:rPr>
                <w:color w:val="d9d9d9"/>
                <w:sz w:val="28"/>
                <w:szCs w:val="28"/>
              </w:rPr>
            </w:pPr>
            <w:r>
              <w:rPr>
                <w:color w:val="d9d9d9"/>
                <w:sz w:val="28"/>
                <w:szCs w:val="28"/>
              </w:rPr>
              <w:t xml:space="preserve">[Номер документа]</w:t>
            </w:r>
            <w:r>
              <w:rPr>
                <w:color w:val="d9d9d9"/>
                <w:sz w:val="28"/>
                <w:szCs w:val="28"/>
              </w:rPr>
            </w:r>
          </w:p>
          <w:p>
            <w:pPr>
              <w:ind w:hanging="108"/>
              <w:rPr>
                <w:color w:val="d9d9d9"/>
                <w:sz w:val="28"/>
                <w:szCs w:val="28"/>
                <w:lang w:val="en-US"/>
              </w:rPr>
            </w:pPr>
            <w:r>
              <w:rPr>
                <w:color w:val="d9d9d9"/>
                <w:sz w:val="28"/>
                <w:szCs w:val="28"/>
                <w:lang w:val="en-US"/>
              </w:rPr>
              <w:t xml:space="preserve">[</w:t>
            </w:r>
            <w:r>
              <w:rPr>
                <w:color w:val="d9d9d9"/>
                <w:sz w:val="28"/>
                <w:szCs w:val="28"/>
              </w:rPr>
              <w:t xml:space="preserve">Дата документа</w:t>
            </w:r>
            <w:r>
              <w:rPr>
                <w:color w:val="d9d9d9"/>
                <w:sz w:val="28"/>
                <w:szCs w:val="28"/>
                <w:lang w:val="en-US"/>
              </w:rPr>
              <w:t xml:space="preserve">]</w:t>
            </w:r>
            <w:r>
              <w:rPr>
                <w:color w:val="d9d9d9"/>
                <w:sz w:val="28"/>
                <w:szCs w:val="28"/>
                <w:lang w:val="en-US"/>
              </w:rPr>
            </w:r>
          </w:p>
          <w:p>
            <w:pPr>
              <w:tabs>
                <w:tab w:val="right" w:pos="4784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4848" w:type="dxa"/>
            <w:textDirection w:val="lrTb"/>
            <w:noWrap w:val="false"/>
          </w:tcPr>
          <w:p>
            <w:pPr>
              <w:ind w:left="705" w:right="-108"/>
              <w:jc w:val="right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Главам </w:t>
            </w:r>
            <w:r>
              <w:rPr>
                <w:sz w:val="26"/>
                <w:szCs w:val="26"/>
              </w:rPr>
            </w:r>
          </w:p>
          <w:p>
            <w:pPr>
              <w:ind w:left="705" w:right="-108"/>
              <w:jc w:val="right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муниципальных образований</w:t>
            </w:r>
            <w:r>
              <w:rPr>
                <w:sz w:val="26"/>
                <w:szCs w:val="26"/>
              </w:rPr>
            </w:r>
          </w:p>
          <w:p>
            <w:pPr>
              <w:ind w:left="705" w:right="-108"/>
              <w:jc w:val="right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Ханты-Мансийского автономного округа – Югры</w:t>
            </w:r>
            <w:r>
              <w:rPr>
                <w:sz w:val="26"/>
                <w:szCs w:val="26"/>
              </w:rPr>
            </w:r>
          </w:p>
          <w:p>
            <w:pPr>
              <w:ind w:left="705"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ind w:right="-108" w:firstLine="709"/>
              <w:jc w:val="right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 xml:space="preserve">(по списку)</w:t>
            </w:r>
            <w:r>
              <w:rPr>
                <w:rFonts w:eastAsia="Calibri"/>
                <w:sz w:val="26"/>
                <w:szCs w:val="26"/>
                <w:lang w:eastAsia="en-US"/>
              </w:rPr>
            </w:r>
          </w:p>
          <w:p>
            <w:pPr>
              <w:ind w:left="705"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</w:tbl>
    <w:p>
      <w:pPr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851"/>
        <w:jc w:val="both"/>
        <w:spacing w:line="276" w:lineRule="auto"/>
        <w:rPr>
          <w:rFonts w:eastAsia="Arial Unicode MS"/>
          <w:sz w:val="26"/>
          <w:szCs w:val="26"/>
        </w:rPr>
      </w:pPr>
      <w:r>
        <w:rPr>
          <w:rFonts w:eastAsia="Calibri"/>
          <w:sz w:val="26"/>
          <w:szCs w:val="26"/>
        </w:rPr>
        <w:t xml:space="preserve">Во исполнение </w:t>
      </w:r>
      <w:r>
        <w:rPr>
          <w:rFonts w:eastAsia="Arial Unicode MS"/>
          <w:sz w:val="26"/>
          <w:szCs w:val="26"/>
        </w:rPr>
        <w:t xml:space="preserve">пунк</w:t>
      </w:r>
      <w:r>
        <w:rPr>
          <w:rFonts w:eastAsia="Arial Unicode MS"/>
          <w:sz w:val="26"/>
          <w:szCs w:val="26"/>
          <w:highlight w:val="white"/>
        </w:rPr>
        <w:t xml:space="preserve">та 5.3 п</w:t>
      </w:r>
      <w:r>
        <w:rPr>
          <w:rFonts w:eastAsia="Arial Unicode MS"/>
          <w:sz w:val="26"/>
          <w:szCs w:val="26"/>
        </w:rPr>
        <w:t xml:space="preserve">лана мероприятий по недопущению необоснованного роста платежей граждан за коммунальные услуги и услуги, касающиеся обслуживания жилищного фонда, в Ханты-Мансийском автономном округе – Ю</w:t>
      </w:r>
      <w:bookmarkStart w:id="0" w:name="_GoBack"/>
      <w:r/>
      <w:bookmarkEnd w:id="0"/>
      <w:r>
        <w:rPr>
          <w:rFonts w:eastAsia="Arial Unicode MS"/>
          <w:sz w:val="26"/>
          <w:szCs w:val="26"/>
        </w:rPr>
        <w:t xml:space="preserve">гре, утвержденного постановлением Губернатора Ханты-Мансийского автоном</w:t>
      </w:r>
      <w:r>
        <w:rPr>
          <w:rFonts w:eastAsia="Arial Unicode MS"/>
          <w:sz w:val="26"/>
          <w:szCs w:val="26"/>
        </w:rPr>
        <w:t xml:space="preserve">ного округа – Югры 11.12.2023 № 185-рп (в ред. от 12.12.2025) направляю Вам для размещения на официальных веб-сайтах органов местного самоуправления в информационно-телекоммуникационной сети интернет и </w:t>
      </w:r>
      <w:r>
        <w:rPr>
          <w:rFonts w:eastAsia="Calibri"/>
          <w:sz w:val="26"/>
          <w:szCs w:val="26"/>
        </w:rPr>
        <w:t xml:space="preserve">доведения до управляющих организаций для ознакомления </w:t>
      </w:r>
      <w:r>
        <w:rPr>
          <w:rFonts w:eastAsia="Calibri"/>
          <w:sz w:val="26"/>
          <w:szCs w:val="26"/>
        </w:rPr>
        <w:t xml:space="preserve">с ним собственников жилых помещений </w:t>
      </w:r>
      <w:r>
        <w:rPr>
          <w:rFonts w:eastAsia="Calibri"/>
          <w:sz w:val="26"/>
          <w:szCs w:val="26"/>
        </w:rPr>
        <w:t xml:space="preserve">«И</w:t>
      </w:r>
      <w:r>
        <w:rPr>
          <w:rFonts w:eastAsia="Calibri"/>
          <w:sz w:val="26"/>
          <w:szCs w:val="26"/>
        </w:rPr>
        <w:t xml:space="preserve">нформацию</w:t>
      </w:r>
      <w:r>
        <w:rPr>
          <w:rFonts w:eastAsia="Arial Unicode MS"/>
          <w:sz w:val="26"/>
          <w:szCs w:val="26"/>
        </w:rPr>
        <w:t xml:space="preserve"> </w:t>
      </w:r>
      <w:r>
        <w:rPr>
          <w:rFonts w:eastAsia="Arial Unicode MS"/>
          <w:sz w:val="26"/>
          <w:szCs w:val="26"/>
        </w:rPr>
        <w:t xml:space="preserve">о тарифах и плате за коммунальные услуги на 2026 год</w:t>
      </w:r>
      <w:r>
        <w:rPr>
          <w:rFonts w:eastAsia="Arial Unicode MS"/>
          <w:sz w:val="26"/>
          <w:szCs w:val="26"/>
        </w:rPr>
        <w:t xml:space="preserve">»</w:t>
      </w:r>
      <w:r>
        <w:rPr>
          <w:rFonts w:eastAsia="Arial Unicode MS"/>
          <w:sz w:val="26"/>
          <w:szCs w:val="26"/>
        </w:rPr>
        <w:t xml:space="preserve">, согласно приложению</w:t>
      </w:r>
      <w:r>
        <w:rPr>
          <w:rFonts w:eastAsia="Arial Unicode MS"/>
          <w:sz w:val="26"/>
          <w:szCs w:val="26"/>
        </w:rPr>
        <w:t xml:space="preserve"> 1.</w:t>
      </w:r>
      <w:r>
        <w:rPr>
          <w:rFonts w:eastAsia="Arial Unicode MS"/>
          <w:sz w:val="26"/>
          <w:szCs w:val="26"/>
        </w:rPr>
      </w:r>
    </w:p>
    <w:p>
      <w:pPr>
        <w:ind w:firstLine="851"/>
        <w:jc w:val="both"/>
        <w:spacing w:line="276" w:lineRule="auto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Сведения об источниках опубликования указанной информации и доведения ее до управляющих организаций на территории Вашего мун</w:t>
      </w:r>
      <w:r>
        <w:rPr>
          <w:rFonts w:eastAsia="Calibri"/>
          <w:sz w:val="26"/>
          <w:szCs w:val="26"/>
        </w:rPr>
        <w:t xml:space="preserve">иципального образования, прошу направить в адрес РСТ Югры в срок не поздне</w:t>
      </w:r>
      <w:r>
        <w:rPr>
          <w:rFonts w:eastAsia="Calibri"/>
          <w:sz w:val="26"/>
          <w:szCs w:val="26"/>
          <w:highlight w:val="none"/>
        </w:rPr>
        <w:t xml:space="preserve">е</w:t>
      </w:r>
      <w:r>
        <w:rPr>
          <w:rFonts w:eastAsia="Calibri"/>
          <w:sz w:val="26"/>
          <w:szCs w:val="26"/>
          <w:highlight w:val="none"/>
        </w:rPr>
        <w:t xml:space="preserve"> 16 марта</w:t>
      </w:r>
      <w:r>
        <w:rPr>
          <w:rFonts w:eastAsia="Calibri"/>
          <w:sz w:val="26"/>
          <w:szCs w:val="26"/>
          <w:highlight w:val="none"/>
        </w:rPr>
        <w:t xml:space="preserve"> </w:t>
      </w:r>
      <w:r>
        <w:rPr>
          <w:rFonts w:eastAsia="Calibri"/>
          <w:sz w:val="26"/>
          <w:szCs w:val="26"/>
          <w:highlight w:val="none"/>
        </w:rPr>
        <w:t xml:space="preserve">20</w:t>
      </w:r>
      <w:r>
        <w:rPr>
          <w:rFonts w:eastAsia="Calibri"/>
          <w:sz w:val="26"/>
          <w:szCs w:val="26"/>
        </w:rPr>
        <w:t xml:space="preserve">26 года по форме, согласно приложению 2.</w:t>
      </w:r>
      <w:r>
        <w:rPr>
          <w:rFonts w:eastAsia="Calibri"/>
          <w:sz w:val="26"/>
          <w:szCs w:val="26"/>
        </w:rPr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spacing w:line="276" w:lineRule="auto"/>
        <w:rPr>
          <w:sz w:val="26"/>
          <w:szCs w:val="26"/>
          <w:highlight w:val="none"/>
        </w:rPr>
      </w:pPr>
      <w:r>
        <w:rPr>
          <w:sz w:val="26"/>
          <w:szCs w:val="26"/>
          <w:highlight w:val="none"/>
        </w:rPr>
        <w:t xml:space="preserve">Приложение: на 5</w:t>
      </w:r>
      <w:r>
        <w:rPr>
          <w:sz w:val="26"/>
          <w:szCs w:val="26"/>
          <w:highlight w:val="none"/>
        </w:rPr>
        <w:t xml:space="preserve"> л. в 1 экз.</w:t>
      </w:r>
      <w:r>
        <w:rPr>
          <w:sz w:val="26"/>
          <w:szCs w:val="26"/>
          <w:highlight w:val="none"/>
        </w:rPr>
      </w:r>
    </w:p>
    <w:p>
      <w:pPr>
        <w:ind w:firstLine="709"/>
        <w:spacing w:line="276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9180" w:type="dxa"/>
        <w:tblInd w:w="-8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836"/>
        <w:gridCol w:w="4110"/>
        <w:gridCol w:w="2234"/>
      </w:tblGrid>
      <w:tr>
        <w:tblPrEx/>
        <w:trPr>
          <w:trHeight w:val="1637"/>
        </w:trPr>
        <w:tc>
          <w:tcPr>
            <w:tcW w:w="2836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Руководитель службы</w:t>
            </w:r>
            <w:r>
              <w:rPr>
                <w:color w:val="000000" w:themeColor="text1"/>
                <w:sz w:val="26"/>
                <w:szCs w:val="26"/>
              </w:rPr>
            </w:r>
          </w:p>
        </w:tc>
        <w:tc>
          <w:tcPr>
            <w:tcW w:w="41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Calibri" w:hAnsi="Calibri" w:cs="Calibri"/>
                <w:b/>
                <w:color w:val="d9d9d9"/>
                <w:sz w:val="20"/>
                <w:szCs w:val="20"/>
              </w:rPr>
            </w:pPr>
            <w: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-37465</wp:posOffset>
                      </wp:positionV>
                      <wp:extent cx="2638425" cy="1028700"/>
                      <wp:effectExtent l="0" t="0" r="9525" b="0"/>
                      <wp:wrapNone/>
                      <wp:docPr id="3" name="Рисунок 1" descr="Изображение выглядит как текст, снимок экрана, Прямоугольник, дизайн&#10;&#10;Содержимое, созданное искусственным интеллектом, может быть неверным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46648021" name="Рисунок 1" descr="Изображение выглядит как текст, снимок экрана, Прямоугольник, дизайн&#10;&#10;Содержимое, созданное искусственным интеллектом, может быть неверным.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38425" cy="10287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position:absolute;z-index:-251659264;o:allowoverlap:true;o:allowincell:true;mso-position-horizontal-relative:text;margin-left:-4.30pt;mso-position-horizontal:absolute;mso-position-vertical-relative:text;margin-top:-2.95pt;mso-position-vertical:absolute;width:207.75pt;height:81.00pt;mso-wrap-distance-left:9.00pt;mso-wrap-distance-top:0.00pt;mso-wrap-distance-right:9.00pt;mso-wrap-distance-bottom:0.00pt;" stroked="false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b/>
                <w:color w:val="d9d9d9"/>
                <w:sz w:val="20"/>
                <w:szCs w:val="20"/>
              </w:rPr>
              <w:t xml:space="preserve">ДОКУМЕНТ ПОДПИСАН</w:t>
            </w:r>
            <w:r>
              <w:rPr>
                <w:rFonts w:ascii="Calibri" w:hAnsi="Calibri" w:cs="Calibri"/>
                <w:b/>
                <w:color w:val="d9d9d9"/>
                <w:sz w:val="20"/>
                <w:szCs w:val="20"/>
              </w:rPr>
            </w:r>
          </w:p>
          <w:p>
            <w:pPr>
              <w:jc w:val="center"/>
              <w:rPr>
                <w:rFonts w:ascii="Calibri" w:hAnsi="Calibri" w:cs="Calibri"/>
                <w:b/>
                <w:color w:val="d9d9d9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d9d9d9"/>
                <w:sz w:val="20"/>
                <w:szCs w:val="20"/>
              </w:rPr>
              <w:t xml:space="preserve">ЭЛЕКТРОННОЙ ПОДПИСЬЮ</w:t>
            </w:r>
            <w:r>
              <w:rPr>
                <w:rFonts w:ascii="Calibri" w:hAnsi="Calibri" w:cs="Calibri"/>
                <w:b/>
                <w:color w:val="d9d9d9"/>
                <w:sz w:val="20"/>
                <w:szCs w:val="20"/>
              </w:rPr>
            </w:r>
          </w:p>
          <w:p>
            <w:pPr>
              <w:rPr>
                <w:rFonts w:ascii="Calibri" w:hAnsi="Calibri" w:cs="Calibri"/>
                <w:color w:val="d9d9d9"/>
                <w:sz w:val="8"/>
                <w:szCs w:val="8"/>
              </w:rPr>
            </w:pPr>
            <w:r>
              <w:rPr>
                <w:rFonts w:ascii="Calibri" w:hAnsi="Calibri" w:cs="Calibri"/>
                <w:color w:val="d9d9d9"/>
                <w:sz w:val="8"/>
                <w:szCs w:val="8"/>
              </w:rPr>
            </w:r>
            <w:r>
              <w:rPr>
                <w:rFonts w:ascii="Calibri" w:hAnsi="Calibri" w:cs="Calibri"/>
                <w:color w:val="d9d9d9"/>
                <w:sz w:val="8"/>
                <w:szCs w:val="8"/>
              </w:rPr>
            </w:r>
          </w:p>
          <w:p>
            <w:pPr>
              <w:ind w:firstLine="142"/>
              <w:rPr>
                <w:rFonts w:ascii="Calibri" w:hAnsi="Calibri" w:cs="Calibri"/>
                <w:color w:val="d9d9d9"/>
                <w:sz w:val="18"/>
                <w:szCs w:val="18"/>
              </w:rPr>
            </w:pPr>
            <w:r>
              <w:rPr>
                <w:rFonts w:ascii="Calibri" w:hAnsi="Calibri" w:cs="Calibri"/>
                <w:color w:val="d9d9d9"/>
                <w:sz w:val="18"/>
                <w:szCs w:val="18"/>
              </w:rPr>
              <w:t xml:space="preserve">Сертификат [Номер сертификата 1]</w:t>
            </w:r>
            <w:r>
              <w:rPr>
                <w:rFonts w:ascii="Calibri" w:hAnsi="Calibri" w:cs="Calibri"/>
                <w:color w:val="d9d9d9"/>
                <w:sz w:val="18"/>
                <w:szCs w:val="18"/>
              </w:rPr>
            </w:r>
          </w:p>
          <w:p>
            <w:pPr>
              <w:ind w:firstLine="142"/>
              <w:rPr>
                <w:rFonts w:ascii="Calibri" w:hAnsi="Calibri" w:cs="Calibri"/>
                <w:color w:val="d9d9d9"/>
                <w:sz w:val="18"/>
                <w:szCs w:val="18"/>
              </w:rPr>
            </w:pPr>
            <w:r>
              <w:rPr>
                <w:rFonts w:ascii="Calibri" w:hAnsi="Calibri" w:cs="Calibri"/>
                <w:color w:val="d9d9d9"/>
                <w:sz w:val="18"/>
                <w:szCs w:val="18"/>
              </w:rPr>
              <w:t xml:space="preserve">Владелец [Владелец сертификата 1]</w:t>
            </w:r>
            <w:r>
              <w:rPr>
                <w:rFonts w:ascii="Calibri" w:hAnsi="Calibri" w:cs="Calibri"/>
                <w:color w:val="d9d9d9"/>
                <w:sz w:val="18"/>
                <w:szCs w:val="18"/>
              </w:rPr>
            </w:r>
          </w:p>
          <w:p>
            <w:pPr>
              <w:ind w:firstLine="142"/>
              <w:rPr>
                <w:sz w:val="10"/>
                <w:szCs w:val="10"/>
              </w:rPr>
            </w:pPr>
            <w:r>
              <w:rPr>
                <w:rFonts w:ascii="Calibri" w:hAnsi="Calibri" w:cs="Calibri"/>
                <w:color w:val="d9d9d9"/>
                <w:sz w:val="18"/>
                <w:szCs w:val="18"/>
              </w:rPr>
              <w:t xml:space="preserve">Действителен с [</w:t>
            </w:r>
            <w:r>
              <w:rPr>
                <w:rFonts w:ascii="Calibri" w:hAnsi="Calibri" w:cs="Calibri"/>
                <w:color w:val="d9d9d9"/>
                <w:sz w:val="18"/>
                <w:szCs w:val="18"/>
              </w:rPr>
              <w:t xml:space="preserve">ДатаС</w:t>
            </w:r>
            <w:r>
              <w:rPr>
                <w:rFonts w:ascii="Calibri" w:hAnsi="Calibri" w:cs="Calibri"/>
                <w:color w:val="d9d9d9"/>
                <w:sz w:val="18"/>
                <w:szCs w:val="18"/>
              </w:rPr>
              <w:t xml:space="preserve"> 1] по [</w:t>
            </w:r>
            <w:r>
              <w:rPr>
                <w:rFonts w:ascii="Calibri" w:hAnsi="Calibri" w:cs="Calibri"/>
                <w:color w:val="d9d9d9"/>
                <w:sz w:val="18"/>
                <w:szCs w:val="18"/>
              </w:rPr>
              <w:t xml:space="preserve">ДатаПо</w:t>
            </w:r>
            <w:r>
              <w:rPr>
                <w:rFonts w:ascii="Calibri" w:hAnsi="Calibri" w:cs="Calibri"/>
                <w:color w:val="d9d9d9"/>
                <w:sz w:val="18"/>
                <w:szCs w:val="18"/>
              </w:rPr>
              <w:t xml:space="preserve"> 1]</w:t>
            </w:r>
            <w:r>
              <w:rPr>
                <w:sz w:val="10"/>
                <w:szCs w:val="10"/>
              </w:rPr>
            </w:r>
          </w:p>
        </w:tc>
        <w:tc>
          <w:tcPr>
            <w:tcW w:w="2234" w:type="dxa"/>
            <w:textDirection w:val="lrTb"/>
            <w:noWrap w:val="false"/>
          </w:tcPr>
          <w:p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jc w:val="right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 xml:space="preserve">А.А. Березовский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>
              <w:rPr>
                <w:sz w:val="26"/>
                <w:szCs w:val="26"/>
                <w:lang w:val="en-US"/>
              </w:rPr>
            </w:r>
          </w:p>
        </w:tc>
      </w:tr>
    </w:tbl>
    <w:p>
      <w:pPr>
        <w:pStyle w:val="964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964"/>
        <w:rPr>
          <w:sz w:val="16"/>
          <w:szCs w:val="16"/>
        </w:rPr>
      </w:pPr>
      <w:r>
        <w:rPr>
          <w:sz w:val="16"/>
          <w:szCs w:val="16"/>
        </w:rPr>
        <w:t xml:space="preserve">Исполнитель: </w:t>
      </w:r>
      <w:r>
        <w:rPr>
          <w:sz w:val="16"/>
          <w:szCs w:val="16"/>
        </w:rPr>
      </w:r>
    </w:p>
    <w:p>
      <w:pPr>
        <w:pStyle w:val="964"/>
        <w:rPr>
          <w:sz w:val="16"/>
          <w:szCs w:val="16"/>
        </w:rPr>
      </w:pPr>
      <w:r>
        <w:rPr>
          <w:sz w:val="16"/>
          <w:szCs w:val="16"/>
        </w:rPr>
        <w:t xml:space="preserve">Консультант отдела анализа и мониторинга в коммунальном комплексе РСТ Югры, </w:t>
      </w:r>
      <w:r>
        <w:rPr>
          <w:sz w:val="16"/>
          <w:szCs w:val="16"/>
        </w:rPr>
      </w:r>
    </w:p>
    <w:p>
      <w:pPr>
        <w:pStyle w:val="964"/>
        <w:rPr>
          <w:sz w:val="16"/>
          <w:szCs w:val="16"/>
        </w:rPr>
      </w:pPr>
      <w:r>
        <w:rPr>
          <w:sz w:val="16"/>
          <w:szCs w:val="16"/>
        </w:rPr>
        <w:t xml:space="preserve">Медведева Татьяна Викторовна, тел. 8 (3467) 36-01-36 (4638)</w:t>
      </w:r>
      <w:r>
        <w:rPr>
          <w:sz w:val="16"/>
          <w:szCs w:val="16"/>
        </w:rPr>
      </w:r>
    </w:p>
    <w:p>
      <w:pPr>
        <w:pStyle w:val="964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Приложение к письму 1</w:t>
      </w:r>
      <w:r>
        <w:rPr>
          <w:sz w:val="26"/>
          <w:szCs w:val="26"/>
        </w:rPr>
      </w:r>
    </w:p>
    <w:p>
      <w:pPr>
        <w:jc w:val="right"/>
        <w:rPr>
          <w:color w:val="d9d9d9"/>
          <w:sz w:val="26"/>
          <w:szCs w:val="26"/>
        </w:rPr>
      </w:pPr>
      <w:r>
        <w:rPr>
          <w:sz w:val="26"/>
          <w:szCs w:val="26"/>
        </w:rPr>
        <w:t xml:space="preserve">от </w:t>
      </w:r>
      <w:r>
        <w:rPr>
          <w:color w:val="d9d9d9"/>
          <w:sz w:val="26"/>
          <w:szCs w:val="26"/>
        </w:rPr>
        <w:t xml:space="preserve">[Дата документа] </w:t>
      </w:r>
      <w:r>
        <w:rPr>
          <w:sz w:val="26"/>
          <w:szCs w:val="26"/>
        </w:rPr>
        <w:t xml:space="preserve">№ </w:t>
      </w:r>
      <w:r>
        <w:rPr>
          <w:color w:val="d9d9d9"/>
          <w:sz w:val="26"/>
          <w:szCs w:val="26"/>
        </w:rPr>
        <w:t xml:space="preserve">[Номер документа]</w:t>
      </w:r>
      <w:r>
        <w:rPr>
          <w:color w:val="d9d9d9"/>
          <w:sz w:val="26"/>
          <w:szCs w:val="26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-142"/>
        <w:jc w:val="center"/>
        <w:spacing w:line="276" w:lineRule="auto"/>
        <w:rPr>
          <w:rFonts w:eastAsia="Arial Unicode MS"/>
          <w:b/>
          <w:sz w:val="26"/>
          <w:szCs w:val="26"/>
        </w:rPr>
      </w:pPr>
      <w:r>
        <w:rPr>
          <w:rFonts w:eastAsia="Arial Unicode MS"/>
          <w:b/>
          <w:sz w:val="26"/>
          <w:szCs w:val="26"/>
        </w:rPr>
      </w:r>
      <w:r>
        <w:rPr>
          <w:rFonts w:eastAsia="Arial Unicode MS"/>
          <w:b/>
          <w:sz w:val="26"/>
          <w:szCs w:val="26"/>
        </w:rPr>
      </w:r>
    </w:p>
    <w:p>
      <w:pPr>
        <w:ind w:right="-142"/>
        <w:jc w:val="center"/>
        <w:spacing w:line="276" w:lineRule="auto"/>
        <w:rPr>
          <w:sz w:val="26"/>
          <w:szCs w:val="26"/>
        </w:rPr>
      </w:pPr>
      <w:r>
        <w:rPr>
          <w:rFonts w:eastAsia="Arial Unicode MS"/>
          <w:b/>
          <w:sz w:val="26"/>
          <w:szCs w:val="26"/>
        </w:rPr>
        <w:t xml:space="preserve">Информация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</w:r>
    </w:p>
    <w:p>
      <w:pPr>
        <w:ind w:right="-142"/>
        <w:jc w:val="center"/>
        <w:spacing w:line="276" w:lineRule="auto"/>
        <w:rPr>
          <w:sz w:val="26"/>
          <w:szCs w:val="26"/>
        </w:rPr>
      </w:pPr>
      <w:r>
        <w:rPr>
          <w:rStyle w:val="975"/>
          <w:rFonts w:eastAsiaTheme="majorEastAsia"/>
          <w:b/>
          <w:sz w:val="26"/>
          <w:szCs w:val="26"/>
        </w:rPr>
        <w:t xml:space="preserve">о тарифах и плате за коммунальные услуги</w:t>
      </w:r>
      <w:r>
        <w:rPr>
          <w:sz w:val="26"/>
          <w:szCs w:val="26"/>
        </w:rPr>
        <w:t xml:space="preserve"> </w:t>
      </w:r>
      <w:r>
        <w:rPr>
          <w:rStyle w:val="975"/>
          <w:rFonts w:eastAsiaTheme="majorEastAsia"/>
          <w:b/>
          <w:sz w:val="26"/>
          <w:szCs w:val="26"/>
        </w:rPr>
        <w:t xml:space="preserve">на 2026 год</w:t>
      </w:r>
      <w:r>
        <w:rPr>
          <w:sz w:val="26"/>
          <w:szCs w:val="26"/>
        </w:rPr>
      </w:r>
    </w:p>
    <w:p>
      <w:pPr>
        <w:ind w:right="-142"/>
        <w:jc w:val="center"/>
        <w:spacing w:line="276" w:lineRule="auto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851"/>
        <w:jc w:val="both"/>
        <w:spacing w:line="276" w:lineRule="auto"/>
        <w:rPr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На территории Ханты-Мансийского автономного округа – Югры завершена тарифная </w:t>
      </w:r>
      <w:r>
        <w:rPr>
          <w:color w:val="000000" w:themeColor="text1"/>
          <w:sz w:val="26"/>
          <w:szCs w:val="26"/>
        </w:rPr>
        <w:t xml:space="preserve">кампания по установлению тарифов на коммунальные услуги на 2026 год в сферах теплоснабжения, водоснабжения, водоотведения, электроснабжения (децентрализованная зона), газоснабжения, обращения с твердыми коммунальными отходами (далее – коммунальные услуги).</w:t>
      </w:r>
      <w:r>
        <w:rPr>
          <w:sz w:val="26"/>
          <w:szCs w:val="26"/>
        </w:rPr>
      </w:r>
    </w:p>
    <w:p>
      <w:pPr>
        <w:ind w:firstLine="851"/>
        <w:jc w:val="both"/>
        <w:spacing w:line="276" w:lineRule="auto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 xml:space="preserve">Плановое увеличение тарифов на коммунальн</w:t>
      </w:r>
      <w:r>
        <w:rPr>
          <w:bCs/>
          <w:color w:val="000000" w:themeColor="text1"/>
          <w:sz w:val="26"/>
          <w:szCs w:val="26"/>
        </w:rPr>
        <w:t xml:space="preserve">ые услуги в 2026 году произойдет дважды с 1 января и с 1 октября в пределах индексов изменения размера совокупной платы граждан за коммунальные услуги, установленных Правительством Российской Федерации в среднем по Югре и Губернатором Ханты-Мансийского авт</w:t>
      </w:r>
      <w:r>
        <w:rPr>
          <w:color w:val="000000" w:themeColor="text1"/>
          <w:sz w:val="26"/>
          <w:szCs w:val="26"/>
        </w:rPr>
        <w:t xml:space="preserve">ономного округа – Югры по муниципальным образованиям,</w:t>
      </w:r>
      <w:r>
        <w:rPr>
          <w:bCs/>
          <w:color w:val="000000" w:themeColor="text1"/>
          <w:sz w:val="26"/>
          <w:szCs w:val="26"/>
        </w:rPr>
        <w:t xml:space="preserve"> с учетом параметров Прогноза социально-экономического развития </w:t>
      </w:r>
      <w:r>
        <w:rPr>
          <w:color w:val="000000" w:themeColor="text1"/>
          <w:sz w:val="26"/>
          <w:szCs w:val="26"/>
        </w:rPr>
        <w:t xml:space="preserve">РФ на 2026 год и последующие периоды 2027-2028 годов, одобренного Правительством </w:t>
      </w:r>
      <w:r>
        <w:rPr>
          <w:sz w:val="26"/>
          <w:szCs w:val="26"/>
        </w:rPr>
        <w:t xml:space="preserve">РФ 24.09.2025.</w:t>
      </w:r>
      <w:r>
        <w:rPr>
          <w:bCs/>
          <w:color w:val="000000" w:themeColor="text1"/>
          <w:sz w:val="26"/>
          <w:szCs w:val="26"/>
        </w:rPr>
      </w:r>
    </w:p>
    <w:p>
      <w:pPr>
        <w:ind w:firstLine="851"/>
        <w:jc w:val="both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На 2026 год распоряжением </w:t>
      </w:r>
      <w:r>
        <w:rPr>
          <w:bCs/>
          <w:sz w:val="26"/>
          <w:szCs w:val="26"/>
        </w:rPr>
        <w:t xml:space="preserve">Правительства Российской Федерации от 25.11.2025 № 3413-р (далее – распоряжение Правительства РФ № 3413-р</w:t>
      </w:r>
      <w:r>
        <w:rPr>
          <w:sz w:val="26"/>
          <w:szCs w:val="26"/>
        </w:rPr>
        <w:t xml:space="preserve">) утверждены индексы изменения размера вносимой гражданами платы за коммунальные услуги в среднем по Югре:</w:t>
      </w:r>
      <w:r>
        <w:rPr>
          <w:sz w:val="26"/>
          <w:szCs w:val="26"/>
        </w:rPr>
      </w:r>
    </w:p>
    <w:p>
      <w:pPr>
        <w:ind w:firstLine="851"/>
        <w:jc w:val="both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с 1 января (к декабрю 2025 года) – 1,7% (в связи увеличением с 1 января ставки НДС с 20% до 22%);</w:t>
      </w:r>
      <w:r>
        <w:rPr>
          <w:sz w:val="26"/>
          <w:szCs w:val="26"/>
        </w:rPr>
      </w:r>
    </w:p>
    <w:p>
      <w:pPr>
        <w:ind w:firstLine="851"/>
        <w:jc w:val="both"/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с 1 октября (к январю 2026 года) – 10,7% </w:t>
      </w:r>
      <w:r>
        <w:rPr>
          <w:bCs/>
          <w:sz w:val="26"/>
          <w:szCs w:val="26"/>
        </w:rPr>
      </w:r>
    </w:p>
    <w:p>
      <w:pPr>
        <w:ind w:firstLine="851"/>
        <w:jc w:val="both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и предельно допустимое отклонение по отдельным муниципальным образованиям от величины указанных индексов с 1 января – 0%, с 1 октября – 10,6%, с учето</w:t>
      </w:r>
      <w:r>
        <w:rPr>
          <w:sz w:val="26"/>
          <w:szCs w:val="26"/>
        </w:rPr>
        <w:t xml:space="preserve">м которого предельные (максимальные) индексы изменения размера вносимой гражданами платы за коммунальные услуги в муниципальных образованиях автономного округа с 1 октября 2026 года к январю 2026 года (далее – предельные индексы) не должны превышать 21,3%.</w:t>
      </w:r>
      <w:r>
        <w:rPr>
          <w:sz w:val="26"/>
          <w:szCs w:val="26"/>
        </w:rPr>
      </w:r>
    </w:p>
    <w:p>
      <w:pPr>
        <w:ind w:firstLine="851"/>
        <w:jc w:val="both"/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соответствии с указанным решением, принятым на федеральном уровне, постановлением Губернатора </w:t>
      </w:r>
      <w:r>
        <w:rPr>
          <w:bCs/>
          <w:color w:val="000000" w:themeColor="text1"/>
          <w:sz w:val="26"/>
          <w:szCs w:val="26"/>
        </w:rPr>
        <w:t xml:space="preserve">Ханты-Мансийского авт</w:t>
      </w:r>
      <w:r>
        <w:rPr>
          <w:color w:val="000000" w:themeColor="text1"/>
          <w:sz w:val="26"/>
          <w:szCs w:val="26"/>
        </w:rPr>
        <w:t xml:space="preserve">ономного округа – Югры</w:t>
      </w:r>
      <w:r>
        <w:rPr>
          <w:rStyle w:val="941"/>
          <w:bCs/>
          <w:sz w:val="26"/>
          <w:szCs w:val="26"/>
        </w:rPr>
        <w:footnoteReference w:id="2"/>
      </w:r>
      <w:r>
        <w:rPr>
          <w:bCs/>
          <w:sz w:val="26"/>
          <w:szCs w:val="26"/>
        </w:rPr>
        <w:t xml:space="preserve">   (</w:t>
      </w:r>
      <w:hyperlink r:id="rId15" w:tooltip="https://admhmao.ru/documents/pravovye-akty/postanovleniya-gubernatora/11900310/" w:history="1">
        <w:r>
          <w:rPr>
            <w:rStyle w:val="959"/>
            <w:bCs/>
            <w:sz w:val="26"/>
            <w:szCs w:val="26"/>
          </w:rPr>
          <w:t xml:space="preserve">https://admhmao.ru/documents/pravovye-akty/postanovleniya-gubernatora/11900310/</w:t>
        </w:r>
      </w:hyperlink>
      <w:r>
        <w:rPr>
          <w:bCs/>
          <w:sz w:val="26"/>
          <w:szCs w:val="26"/>
        </w:rPr>
        <w:t xml:space="preserve">) по всем муниципальным образованиям автономного </w:t>
      </w:r>
      <w:r>
        <w:rPr>
          <w:bCs/>
          <w:sz w:val="26"/>
          <w:szCs w:val="26"/>
        </w:rPr>
        <w:t xml:space="preserve">округа утверждены предельные индексы на 2026 год: с 1 января – 1,7%, с 1 октября от 10,7% до 15,4% (включительно).</w:t>
      </w:r>
      <w:r>
        <w:rPr>
          <w:bCs/>
          <w:sz w:val="26"/>
          <w:szCs w:val="26"/>
        </w:rPr>
      </w:r>
    </w:p>
    <w:p>
      <w:pPr>
        <w:ind w:firstLine="851"/>
        <w:jc w:val="both"/>
        <w:spacing w:line="276" w:lineRule="auto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При этом, рост платы граждан за коммунальные услуги в среднем по Югре не превысит индекс, установленный распоряжением Правительства РФ № 3413-р по автономному округу с 1 октября 2026 года в размере 10,7 %. </w:t>
      </w:r>
      <w:r>
        <w:rPr>
          <w:bCs/>
          <w:sz w:val="26"/>
          <w:szCs w:val="26"/>
        </w:rPr>
      </w:r>
    </w:p>
    <w:p>
      <w:pPr>
        <w:ind w:firstLine="851"/>
        <w:jc w:val="both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Велич</w:t>
      </w:r>
      <w:r>
        <w:rPr>
          <w:sz w:val="26"/>
          <w:szCs w:val="26"/>
        </w:rPr>
        <w:t xml:space="preserve">ина тарифов на коммунальные услуги определяется технико-экономическими показателями систем коммунальной инфраструктуры созданных в каждом конкретном муниципальном образовании и зависит от КПД эксплуатируемого оборудования, вида и цены топлива, уровня автом</w:t>
      </w:r>
      <w:r>
        <w:rPr>
          <w:sz w:val="26"/>
          <w:szCs w:val="26"/>
        </w:rPr>
        <w:t xml:space="preserve">атизации технологического процесса, протяженности сетей коммунальной инфраструктуры, загрузки основных производственных фондов, а также наличия утвержденной в установленном порядке инвестиционной программы модернизации и реконструкции коммунальных систем. </w:t>
      </w:r>
      <w:r>
        <w:rPr>
          <w:sz w:val="26"/>
          <w:szCs w:val="26"/>
        </w:rPr>
      </w:r>
    </w:p>
    <w:p>
      <w:pPr>
        <w:ind w:firstLine="850"/>
        <w:jc w:val="both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Поэтому тарифы на одни и</w:t>
      </w:r>
      <w:r>
        <w:rPr>
          <w:sz w:val="26"/>
          <w:szCs w:val="26"/>
        </w:rPr>
        <w:t xml:space="preserve"> те же коммунальные услуги, для разных организаций в разных муниципальных образованиях имеют различную величину по причине деятельности организаций в неодинаковых (несопоставимых) условиях, обусловленных сложившимися схемами поставки коммунальных ресурсов.</w:t>
      </w:r>
      <w:r>
        <w:rPr>
          <w:sz w:val="26"/>
          <w:szCs w:val="26"/>
        </w:rPr>
      </w:r>
    </w:p>
    <w:p>
      <w:pPr>
        <w:ind w:firstLine="850"/>
        <w:jc w:val="both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Увеличение тарифов на коммунальные услуги с 1 октября 2026 года, обусловлено ростом тарифов на продукцию естественных моноп</w:t>
      </w:r>
      <w:r>
        <w:rPr>
          <w:sz w:val="26"/>
          <w:szCs w:val="26"/>
        </w:rPr>
        <w:t xml:space="preserve">олий (газ, электроэнергию), уровнем прогнозной инфляции, поэтапным доведением заработной платы до минимального размера оплаты труда, а также снижением объемов реализации коммунальных услуг, связанным с погодными условиями и энергосбережением потребителей. </w:t>
      </w:r>
      <w:r>
        <w:rPr>
          <w:sz w:val="26"/>
          <w:szCs w:val="26"/>
        </w:rPr>
      </w:r>
    </w:p>
    <w:p>
      <w:pPr>
        <w:ind w:firstLine="850"/>
        <w:jc w:val="both"/>
        <w:spacing w:line="276" w:lineRule="auto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color w:val="000000"/>
          <w:sz w:val="26"/>
          <w:szCs w:val="26"/>
        </w:rPr>
        <w:t xml:space="preserve">Розничные цены на природный газ для населения с</w:t>
      </w:r>
      <w:r>
        <w:rPr>
          <w:sz w:val="26"/>
          <w:szCs w:val="26"/>
        </w:rPr>
        <w:t xml:space="preserve"> 1 октября 2026 года</w:t>
      </w:r>
      <w:r>
        <w:rPr>
          <w:color w:val="000000"/>
          <w:sz w:val="26"/>
          <w:szCs w:val="26"/>
        </w:rPr>
        <w:t xml:space="preserve"> будут установлены РСТ Югры с учетом ограничений роста платы граждан после утверждения </w:t>
      </w:r>
      <w:r>
        <w:rPr>
          <w:sz w:val="26"/>
          <w:szCs w:val="26"/>
        </w:rPr>
        <w:t xml:space="preserve">Федеральной антимонопольной службой</w:t>
      </w:r>
      <w:r>
        <w:rPr>
          <w:color w:val="000000"/>
          <w:sz w:val="26"/>
          <w:szCs w:val="26"/>
        </w:rPr>
        <w:t xml:space="preserve"> оптовой цены на природный газ, тарифов на услуги по транспортировке газа и размера платы за снабженческо-сбытовые услуги.</w:t>
      </w:r>
      <w:r>
        <w:rPr>
          <w:sz w:val="26"/>
          <w:szCs w:val="26"/>
        </w:rPr>
      </w:r>
    </w:p>
    <w:p>
      <w:pPr>
        <w:ind w:firstLine="850"/>
        <w:jc w:val="both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При этом, рост тарифов по некоторым коммунальным услугам может быть выше установленных индексов (инфляции) за счет отсутствия роста или роста ниже индексов (инфляции) по другим коммунальным услугам, входящим в состав платы за коммунальные услуги.</w:t>
      </w:r>
      <w:r>
        <w:rPr>
          <w:sz w:val="26"/>
          <w:szCs w:val="26"/>
        </w:rPr>
      </w:r>
    </w:p>
    <w:p>
      <w:pPr>
        <w:ind w:firstLine="850"/>
        <w:jc w:val="both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Рост или снижение тарифов на каждую коммунальную услугу обусловлены экономически обоснованными расходами регулируемой организации, определенными в соответствии с требованиями действующего законодательства.</w:t>
      </w:r>
      <w:r>
        <w:rPr>
          <w:sz w:val="26"/>
          <w:szCs w:val="26"/>
        </w:rPr>
      </w:r>
    </w:p>
    <w:p>
      <w:pPr>
        <w:ind w:firstLine="851"/>
        <w:jc w:val="both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Величина платы за коммунальные услуги рассчитывается исходя из тарифов и объема потребления, определяемого по показаниям приборов учета или нормативам потребления (в том числе нормативам накопления твердых коммунальных отходов).</w:t>
      </w:r>
      <w:r>
        <w:rPr>
          <w:sz w:val="26"/>
          <w:szCs w:val="26"/>
        </w:rPr>
      </w:r>
    </w:p>
    <w:p>
      <w:pPr>
        <w:ind w:firstLine="851"/>
        <w:jc w:val="both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Для соблюдения законодательства об ограничении роста платы граждан за коммунальные услуги в 2026 году для населения будут применены следующие механизмы:</w:t>
      </w:r>
      <w:r>
        <w:rPr>
          <w:sz w:val="26"/>
          <w:szCs w:val="26"/>
        </w:rPr>
      </w:r>
    </w:p>
    <w:p>
      <w:pPr>
        <w:ind w:firstLine="851"/>
        <w:jc w:val="both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постановлением Губернатора Ханты-Мансийского автономного округа – Югры</w:t>
      </w:r>
      <w:r>
        <w:rPr>
          <w:sz w:val="26"/>
          <w:szCs w:val="26"/>
          <w:vertAlign w:val="superscript"/>
        </w:rPr>
        <w:footnoteReference w:id="3"/>
      </w:r>
      <w:r>
        <w:rPr>
          <w:sz w:val="26"/>
          <w:szCs w:val="26"/>
          <w:vertAlign w:val="superscript"/>
        </w:rPr>
        <w:t xml:space="preserve">  </w:t>
      </w:r>
      <w:r>
        <w:rPr>
          <w:sz w:val="26"/>
          <w:szCs w:val="26"/>
        </w:rPr>
        <w:t xml:space="preserve">установлена дополнительная мера социальной поддержки населения по оплате коммунальной услуги по электроснабжению на территории централизованной зоны электроснабжения автономного округа;</w:t>
      </w:r>
      <w:r>
        <w:rPr>
          <w:sz w:val="26"/>
          <w:szCs w:val="26"/>
        </w:rPr>
      </w:r>
    </w:p>
    <w:p>
      <w:pPr>
        <w:ind w:firstLine="851"/>
        <w:jc w:val="both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Законом Ханты-Мансийского автономного округа – Югры</w:t>
      </w:r>
      <w:r>
        <w:rPr>
          <w:sz w:val="26"/>
          <w:szCs w:val="26"/>
          <w:vertAlign w:val="superscript"/>
        </w:rPr>
        <w:footnoteReference w:id="4"/>
      </w:r>
      <w:r>
        <w:rPr>
          <w:sz w:val="26"/>
          <w:szCs w:val="26"/>
        </w:rPr>
        <w:t xml:space="preserve"> поставка электрической энергии населению на территории децентрализованной зоны электроснабжения Югры осуществляется по тарифам с учет</w:t>
      </w:r>
      <w:r>
        <w:rPr>
          <w:sz w:val="26"/>
          <w:szCs w:val="26"/>
        </w:rPr>
        <w:t xml:space="preserve">ом установленных ограничений роста платы, в связи с чем реализуется механизм возмещения недополученных доходов гарантирующим поставщикам, возникающих в связи с реализацией электрической энергии потребителям в зоне децентрализованного электроснабжения Югры;</w:t>
      </w:r>
      <w:r>
        <w:rPr>
          <w:sz w:val="26"/>
          <w:szCs w:val="26"/>
        </w:rPr>
      </w:r>
    </w:p>
    <w:p>
      <w:pPr>
        <w:ind w:firstLine="851"/>
        <w:jc w:val="both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в отдельных муниципальных образованиях приняты нормативные правовые акты о снижении уровня платы для населения на услуги тепло-, водоснабжения и водоотведения с компенсацией выпадающих доходов </w:t>
      </w:r>
      <w:r>
        <w:rPr>
          <w:sz w:val="26"/>
          <w:szCs w:val="26"/>
        </w:rPr>
        <w:t xml:space="preserve">ресурсоснабжающим</w:t>
      </w:r>
      <w:r>
        <w:rPr>
          <w:sz w:val="26"/>
          <w:szCs w:val="26"/>
        </w:rPr>
        <w:t xml:space="preserve"> организациям из муниципальных бюджетов;</w:t>
      </w:r>
      <w:r>
        <w:rPr>
          <w:sz w:val="26"/>
          <w:szCs w:val="26"/>
        </w:rPr>
      </w:r>
    </w:p>
    <w:p>
      <w:pPr>
        <w:ind w:firstLine="851"/>
        <w:jc w:val="both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приказом регионального оператора АО «Югра-Экология»</w:t>
      </w:r>
      <w:r>
        <w:rPr>
          <w:sz w:val="26"/>
          <w:szCs w:val="26"/>
          <w:vertAlign w:val="superscript"/>
        </w:rPr>
        <w:footnoteReference w:id="5"/>
      </w:r>
      <w:r>
        <w:rPr>
          <w:sz w:val="26"/>
          <w:szCs w:val="26"/>
        </w:rPr>
        <w:t xml:space="preserve"> (далее – приказ АО «Югра-Экология») в сфере обращения с твер</w:t>
      </w:r>
      <w:r>
        <w:rPr>
          <w:sz w:val="26"/>
          <w:szCs w:val="26"/>
        </w:rPr>
        <w:t xml:space="preserve">дыми коммунальными отходами (далее – ТКО) для населения применяются цены ниже единых тарифов на услугу регионального оператора, утвержденных РСТ Югры (возмещение недополученных доходов региональному оператору осуществляется из бюджета автономного округа). </w:t>
      </w:r>
      <w:r>
        <w:rPr>
          <w:sz w:val="26"/>
          <w:szCs w:val="26"/>
        </w:rPr>
      </w:r>
    </w:p>
    <w:p>
      <w:pPr>
        <w:ind w:firstLine="851"/>
        <w:jc w:val="both"/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Контроль за правильностью применения тарифов в сфере тепло, водоснабжения, водоотведения, обращения с твердыми коммунальными услугами осуществляет РСТ Югры.</w:t>
      </w:r>
      <w:r>
        <w:rPr>
          <w:sz w:val="26"/>
          <w:szCs w:val="26"/>
        </w:rPr>
      </w:r>
    </w:p>
    <w:p>
      <w:pPr>
        <w:ind w:firstLine="851"/>
        <w:jc w:val="both"/>
        <w:spacing w:line="276" w:lineRule="auto"/>
        <w:rPr>
          <w:color w:val="ff0000"/>
          <w:sz w:val="26"/>
          <w:szCs w:val="26"/>
        </w:rPr>
      </w:pPr>
      <w:r>
        <w:rPr>
          <w:rFonts w:eastAsia="Calibri"/>
          <w:sz w:val="26"/>
          <w:szCs w:val="26"/>
        </w:rPr>
        <w:t xml:space="preserve">Информация об установленных РСТ Югры тарифах на газ, тепловую энергию,</w:t>
      </w:r>
      <w:r>
        <w:rPr>
          <w:rFonts w:eastAsia="Calibri"/>
          <w:sz w:val="26"/>
          <w:szCs w:val="26"/>
        </w:rPr>
        <w:t xml:space="preserve"> холодное водоснабжение, водоотведение, по обращению с ТКО размещена на сайте РСТ Югры в разделе «Документы» в подразделе «Приказы службы»/ «Газовая отрасль»/ «Теплоэнергетика»/ «Водоснабжение и водоотведение»/ «Обращение с твердыми коммунальными отходами»</w:t>
      </w:r>
      <w:r>
        <w:rPr>
          <w:sz w:val="26"/>
          <w:szCs w:val="26"/>
        </w:rPr>
        <w:t xml:space="preserve"> (</w:t>
      </w:r>
      <w:hyperlink r:id="rId16" w:tooltip="https://rst.admhmao.ru/dokumenty/" w:history="1">
        <w:r>
          <w:rPr>
            <w:rStyle w:val="959"/>
            <w:sz w:val="26"/>
            <w:szCs w:val="26"/>
          </w:rPr>
          <w:t xml:space="preserve">https://rst.admhmao.ru/dokumenty/</w:t>
        </w:r>
      </w:hyperlink>
      <w:r>
        <w:rPr>
          <w:sz w:val="26"/>
          <w:szCs w:val="26"/>
        </w:rPr>
        <w:t xml:space="preserve">).</w:t>
      </w:r>
      <w:r>
        <w:rPr>
          <w:color w:val="ff0000"/>
          <w:sz w:val="26"/>
          <w:szCs w:val="26"/>
        </w:rPr>
      </w:r>
    </w:p>
    <w:p>
      <w:pPr>
        <w:ind w:firstLine="851"/>
        <w:jc w:val="both"/>
        <w:spacing w:line="276" w:lineRule="auto"/>
        <w:rPr>
          <w:sz w:val="26"/>
          <w:szCs w:val="26"/>
        </w:rPr>
      </w:pPr>
      <w:r>
        <w:rPr>
          <w:rFonts w:eastAsia="Arial Unicode MS"/>
          <w:sz w:val="26"/>
          <w:szCs w:val="26"/>
        </w:rPr>
        <w:t xml:space="preserve">На сайте </w:t>
      </w:r>
      <w:r>
        <w:rPr>
          <w:sz w:val="26"/>
          <w:szCs w:val="26"/>
        </w:rPr>
        <w:t xml:space="preserve">регионального оператора по обращению с твердыми коммунальными отходами АО «Югра-Экология» </w:t>
      </w:r>
      <w:r>
        <w:rPr>
          <w:rFonts w:eastAsia="Arial Unicode MS"/>
          <w:sz w:val="26"/>
          <w:szCs w:val="26"/>
        </w:rPr>
        <w:t xml:space="preserve">установлена программа для расчета платежа за услугу «Обращение с ТКО» (</w:t>
      </w:r>
      <w:hyperlink r:id="rId17" w:tooltip="https://www.yugra-ecology.ru/calculator" w:history="1">
        <w:r>
          <w:rPr>
            <w:rStyle w:val="959"/>
            <w:rFonts w:eastAsia="Arial Unicode MS"/>
            <w:sz w:val="26"/>
            <w:szCs w:val="26"/>
          </w:rPr>
          <w:t xml:space="preserve">https://www.yugra-ecology.ru/calculator</w:t>
        </w:r>
      </w:hyperlink>
      <w:r>
        <w:rPr>
          <w:rFonts w:eastAsia="Arial Unicode MS"/>
          <w:sz w:val="26"/>
          <w:szCs w:val="26"/>
        </w:rPr>
        <w:t xml:space="preserve">) и размещен приказ </w:t>
      </w:r>
      <w:r>
        <w:rPr>
          <w:sz w:val="26"/>
          <w:szCs w:val="26"/>
        </w:rPr>
        <w:t xml:space="preserve">АО «Югра-Экология»</w:t>
      </w:r>
      <w:r>
        <w:rPr>
          <w:sz w:val="26"/>
          <w:szCs w:val="26"/>
          <w:vertAlign w:val="superscript"/>
        </w:rPr>
        <w:t xml:space="preserve">4</w:t>
      </w:r>
      <w:r>
        <w:rPr>
          <w:sz w:val="26"/>
          <w:szCs w:val="26"/>
        </w:rPr>
        <w:t xml:space="preserve"> </w:t>
      </w:r>
      <w:r>
        <w:rPr>
          <w:rFonts w:eastAsia="Arial Unicode MS"/>
          <w:sz w:val="26"/>
          <w:szCs w:val="26"/>
        </w:rPr>
        <w:t xml:space="preserve">(</w:t>
      </w:r>
      <w:hyperlink r:id="rId18" w:tooltip="https://yugra-ecology.ru/documents?id=3fd99214304d98c3610fcc86598d3e530f2b8d3b0c04f2de7b16a531c3e1d179" w:history="1">
        <w:r>
          <w:rPr>
            <w:rStyle w:val="959"/>
            <w:rFonts w:eastAsia="Arial Unicode MS"/>
            <w:sz w:val="26"/>
            <w:szCs w:val="26"/>
          </w:rPr>
          <w:t xml:space="preserve">https://yugra-ecology.ru/documents?id=3fd99214304d98c3610fcc86598d3e530f2b8d3b0c04f2de7b16a531c3e1d179</w:t>
        </w:r>
      </w:hyperlink>
      <w:r>
        <w:rPr>
          <w:rFonts w:eastAsia="Arial Unicode MS"/>
          <w:sz w:val="26"/>
          <w:szCs w:val="26"/>
        </w:rPr>
        <w:t xml:space="preserve">). </w:t>
      </w:r>
      <w:r>
        <w:rPr>
          <w:sz w:val="26"/>
          <w:szCs w:val="26"/>
        </w:rPr>
      </w:r>
    </w:p>
    <w:p>
      <w:pPr>
        <w:ind w:firstLine="851"/>
        <w:jc w:val="both"/>
        <w:spacing w:line="276" w:lineRule="auto"/>
        <w:rPr>
          <w:rFonts w:eastAsia="Arial Unicode MS"/>
          <w:bCs/>
          <w:sz w:val="26"/>
          <w:szCs w:val="26"/>
        </w:rPr>
      </w:pPr>
      <w:r>
        <w:rPr>
          <w:rFonts w:eastAsia="Arial Unicode MS"/>
          <w:sz w:val="26"/>
          <w:szCs w:val="26"/>
        </w:rPr>
        <w:t xml:space="preserve">Информация об установленных тарифах на электрическую энергию для населения размещена на портале </w:t>
      </w:r>
      <w:r>
        <w:rPr>
          <w:rFonts w:eastAsia="Arial Unicode MS"/>
          <w:bCs/>
          <w:sz w:val="26"/>
          <w:szCs w:val="26"/>
        </w:rPr>
        <w:t xml:space="preserve">Региональной энергетической комиссии Тюменской области, Ханты-Мансийского автономного округа – Югры, Ямало-Ненецкого автономного округа</w:t>
      </w:r>
      <w:r>
        <w:rPr>
          <w:rFonts w:eastAsia="Arial Unicode MS"/>
          <w:sz w:val="26"/>
          <w:szCs w:val="26"/>
        </w:rPr>
        <w:t xml:space="preserve"> (</w:t>
      </w:r>
      <w:hyperlink r:id="rId19" w:tooltip="https://rec.admtyumen.ru/" w:history="1">
        <w:r>
          <w:rPr>
            <w:rStyle w:val="976"/>
            <w:rFonts w:eastAsia="Arial Unicode MS"/>
            <w:sz w:val="26"/>
            <w:szCs w:val="26"/>
          </w:rPr>
          <w:t xml:space="preserve">https://rec.admtyumen.ru/</w:t>
        </w:r>
      </w:hyperlink>
      <w:r>
        <w:rPr>
          <w:rFonts w:eastAsia="Arial Unicode MS"/>
          <w:sz w:val="26"/>
          <w:szCs w:val="26"/>
        </w:rPr>
        <w:t xml:space="preserve">)  на главной странице «Деятельность», раздел «Нормативные правовые и ненормативные правовые акты».</w:t>
      </w:r>
      <w:r>
        <w:rPr>
          <w:rFonts w:eastAsia="Arial Unicode MS"/>
          <w:bCs/>
          <w:sz w:val="26"/>
          <w:szCs w:val="26"/>
        </w:rPr>
      </w:r>
    </w:p>
    <w:p>
      <w:pPr>
        <w:ind w:firstLine="851"/>
        <w:jc w:val="both"/>
        <w:spacing w:line="276" w:lineRule="auto"/>
        <w:rPr>
          <w:color w:val="ff0000"/>
          <w:sz w:val="26"/>
          <w:szCs w:val="26"/>
        </w:rPr>
      </w:pPr>
      <w:r>
        <w:rPr>
          <w:rFonts w:eastAsia="Arial Unicode MS"/>
          <w:sz w:val="26"/>
          <w:szCs w:val="26"/>
        </w:rPr>
        <w:t xml:space="preserve">Контроль за правильностью установления размера платы за содержание и ремонт жилого помещения, определения размера и внесен</w:t>
      </w:r>
      <w:r>
        <w:rPr>
          <w:sz w:val="26"/>
          <w:szCs w:val="26"/>
        </w:rPr>
        <w:t xml:space="preserve">ия платы за коммунальные услуги граждан осуществляет Служба жилищного и строительного надзора Ханты</w:t>
      </w:r>
      <w:r>
        <w:rPr>
          <w:color w:val="ff0000"/>
          <w:sz w:val="26"/>
          <w:szCs w:val="26"/>
        </w:rPr>
        <w:t xml:space="preserve">-</w:t>
      </w:r>
      <w:r>
        <w:rPr>
          <w:sz w:val="26"/>
          <w:szCs w:val="26"/>
        </w:rPr>
        <w:t xml:space="preserve">Мансийского автономного округа – Югры </w:t>
      </w:r>
      <w:r>
        <w:rPr>
          <w:color w:val="1f3864" w:themeColor="accent1" w:themeShade="80"/>
          <w:sz w:val="26"/>
          <w:szCs w:val="26"/>
        </w:rPr>
        <w:t xml:space="preserve">(</w:t>
      </w:r>
      <w:hyperlink r:id="rId20" w:tooltip="https://jsn.admhmao.ru/)." w:history="1">
        <w:r>
          <w:rPr>
            <w:rStyle w:val="959"/>
            <w:sz w:val="26"/>
            <w:szCs w:val="26"/>
          </w:rPr>
          <w:t xml:space="preserve">https://jsn.admhmao.ru/).</w:t>
        </w:r>
      </w:hyperlink>
      <w:r/>
      <w:r>
        <w:rPr>
          <w:color w:val="ff0000"/>
          <w:sz w:val="26"/>
          <w:szCs w:val="26"/>
        </w:rPr>
      </w:r>
    </w:p>
    <w:p>
      <w:pPr>
        <w:ind w:firstLine="851"/>
        <w:jc w:val="both"/>
        <w:spacing w:line="276" w:lineRule="auto"/>
        <w:rPr>
          <w:rFonts w:eastAsia="Calibri"/>
          <w:color w:val="ff0000"/>
          <w:sz w:val="26"/>
          <w:szCs w:val="26"/>
        </w:rPr>
      </w:pPr>
      <w:r>
        <w:rPr>
          <w:rFonts w:eastAsia="Calibri"/>
          <w:sz w:val="26"/>
          <w:szCs w:val="26"/>
        </w:rPr>
        <w:t xml:space="preserve">Установление нормативов потребления и понижающих коэффициентов к ним на</w:t>
      </w:r>
      <w:r>
        <w:rPr>
          <w:rFonts w:eastAsia="Calibri"/>
          <w:sz w:val="26"/>
          <w:szCs w:val="26"/>
        </w:rPr>
        <w:t xml:space="preserve"> холодную, горячую воду, водоотведение, отопление, минимального размера взноса на капитальный ремонт общего имущества в многоквартирном доме осуществляет Департамент жилищно-коммунального комплекса и энергетики Ханты-Мансийского автономного округа – Югры  </w:t>
      </w:r>
      <w:r>
        <w:rPr>
          <w:rFonts w:eastAsia="Calibri"/>
          <w:color w:val="1f3864" w:themeColor="accent1" w:themeShade="80"/>
          <w:sz w:val="26"/>
          <w:szCs w:val="26"/>
        </w:rPr>
        <w:t xml:space="preserve">(</w:t>
      </w:r>
      <w:hyperlink r:id="rId21" w:tooltip="https://depjkke.admhmao.ru/contacts/" w:history="1">
        <w:r>
          <w:rPr>
            <w:rStyle w:val="959"/>
            <w:rFonts w:eastAsia="Calibri"/>
            <w:sz w:val="26"/>
            <w:szCs w:val="26"/>
          </w:rPr>
          <w:t xml:space="preserve">https://depjkke.admhmao.ru/</w:t>
        </w:r>
      </w:hyperlink>
      <w:r>
        <w:rPr>
          <w:rStyle w:val="959"/>
          <w:rFonts w:eastAsia="Calibri"/>
          <w:sz w:val="26"/>
          <w:szCs w:val="26"/>
        </w:rPr>
        <w:t xml:space="preserve">).</w:t>
      </w:r>
      <w:r>
        <w:rPr>
          <w:rFonts w:eastAsia="Calibri"/>
          <w:color w:val="ff0000"/>
          <w:sz w:val="26"/>
          <w:szCs w:val="26"/>
        </w:rPr>
      </w:r>
    </w:p>
    <w:p>
      <w:pPr>
        <w:ind w:firstLine="851"/>
        <w:jc w:val="both"/>
        <w:spacing w:line="276" w:lineRule="auto"/>
        <w:rPr>
          <w:rStyle w:val="959"/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Установление нормативов накопления твердых коммунальных отходов относится к полномочиям Департамента промышленности Ханты-Мансийского автономного</w:t>
      </w:r>
      <w:r>
        <w:rPr>
          <w:color w:val="ff0000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 xml:space="preserve">округа – Югры</w:t>
      </w:r>
      <w:r>
        <w:rPr>
          <w:rStyle w:val="959"/>
          <w:color w:val="000000" w:themeColor="text1"/>
          <w:sz w:val="26"/>
          <w:szCs w:val="26"/>
        </w:rPr>
        <w:t xml:space="preserve"> (</w:t>
      </w:r>
      <w:hyperlink r:id="rId22" w:tooltip="https://depprom.admhmao.ru/contacts/" w:history="1">
        <w:r>
          <w:rPr>
            <w:rStyle w:val="959"/>
            <w:sz w:val="26"/>
            <w:szCs w:val="26"/>
          </w:rPr>
          <w:t xml:space="preserve">https://depprom.admhmao.ru/</w:t>
        </w:r>
      </w:hyperlink>
      <w:r>
        <w:rPr>
          <w:rStyle w:val="959"/>
          <w:color w:val="000000" w:themeColor="text1"/>
          <w:sz w:val="26"/>
          <w:szCs w:val="26"/>
        </w:rPr>
        <w:t xml:space="preserve">).</w:t>
      </w:r>
      <w:r>
        <w:rPr>
          <w:rStyle w:val="959"/>
          <w:color w:val="000000" w:themeColor="text1"/>
          <w:sz w:val="26"/>
          <w:szCs w:val="26"/>
        </w:rPr>
      </w:r>
    </w:p>
    <w:p>
      <w:pPr>
        <w:ind w:firstLine="850"/>
        <w:jc w:val="both"/>
        <w:spacing w:line="276" w:lineRule="auto"/>
        <w:rPr>
          <w:rFonts w:eastAsia="Calibri"/>
          <w:sz w:val="28"/>
          <w:szCs w:val="28"/>
        </w:rPr>
      </w:pPr>
      <w:r>
        <w:rPr>
          <w:rFonts w:eastAsia="Calibri"/>
          <w:sz w:val="26"/>
          <w:szCs w:val="26"/>
        </w:rPr>
        <w:t xml:space="preserve">Повышение тарифов в автономном округе – Югре сопровождается социальной защитой граждан с низким уровнем доходов.</w:t>
      </w:r>
      <w:r>
        <w:rPr>
          <w:rFonts w:eastAsia="Calibri"/>
          <w:sz w:val="28"/>
          <w:szCs w:val="28"/>
        </w:rPr>
      </w:r>
    </w:p>
    <w:p>
      <w:pPr>
        <w:ind w:firstLine="850"/>
        <w:jc w:val="both"/>
        <w:spacing w:line="276" w:lineRule="auto"/>
        <w:rPr>
          <w:rFonts w:eastAsia="Calibri"/>
          <w:sz w:val="28"/>
          <w:szCs w:val="28"/>
        </w:rPr>
      </w:pPr>
      <w:r>
        <w:rPr>
          <w:rFonts w:eastAsia="Calibri"/>
          <w:sz w:val="26"/>
          <w:szCs w:val="26"/>
        </w:rPr>
        <w:t xml:space="preserve">В соответствии с Законом Ханты-Мансийского автономного округа – Югры</w:t>
      </w:r>
      <w:r>
        <w:rPr>
          <w:rFonts w:eastAsia="Calibri"/>
          <w:sz w:val="26"/>
          <w:szCs w:val="26"/>
          <w:vertAlign w:val="superscript"/>
        </w:rPr>
        <w:footnoteReference w:id="6"/>
      </w:r>
      <w:r>
        <w:rPr>
          <w:rFonts w:eastAsia="Calibri"/>
          <w:sz w:val="26"/>
          <w:szCs w:val="26"/>
        </w:rPr>
        <w:t xml:space="preserve">  граждане, чьи расходы на оплату жилого помещения и коммунальных услуг превышают величину максимально допустимой доли расходов граждан на оплату жилого помещения и коммунальных услуг в совокупном доходе семьи, имеют право на получение субсидии.</w:t>
      </w:r>
      <w:r>
        <w:rPr>
          <w:rFonts w:eastAsia="Calibri"/>
          <w:sz w:val="28"/>
          <w:szCs w:val="28"/>
        </w:rPr>
      </w:r>
    </w:p>
    <w:p>
      <w:pPr>
        <w:ind w:firstLine="850"/>
        <w:jc w:val="both"/>
        <w:spacing w:line="276" w:lineRule="auto"/>
        <w:rPr>
          <w:color w:val="000000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color w:val="000000"/>
          <w:sz w:val="26"/>
          <w:szCs w:val="26"/>
        </w:rPr>
        <w:t xml:space="preserve"> Консультации по вопросу пр</w:t>
      </w:r>
      <w:r>
        <w:rPr>
          <w:color w:val="000000"/>
          <w:sz w:val="26"/>
          <w:szCs w:val="26"/>
        </w:rPr>
        <w:t xml:space="preserve">едоставления социальной поддержки можно получить, позвонив на единую горячую линию «Контакт-центра» по бесплатному многоканальному федеральному номеру: 8-800-301-44-43. Прием вопросов на единую горячую линию осуществляется с 09:00 до 21:00 часов ежедневно.</w:t>
      </w:r>
      <w:r>
        <w:rPr>
          <w:color w:val="000000"/>
          <w:sz w:val="26"/>
          <w:szCs w:val="26"/>
        </w:rPr>
      </w:r>
    </w:p>
    <w:p>
      <w:pPr>
        <w:ind w:firstLine="850"/>
        <w:jc w:val="both"/>
        <w:spacing w:line="276" w:lineRule="auto"/>
        <w:rPr>
          <w:color w:val="000000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ind w:firstLine="850"/>
        <w:jc w:val="both"/>
        <w:spacing w:line="276" w:lineRule="auto"/>
        <w:rPr>
          <w:color w:val="000000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color w:val="000000"/>
          <w:sz w:val="26"/>
          <w:szCs w:val="26"/>
        </w:rPr>
      </w:r>
      <w:r>
        <w:rPr>
          <w:color w:val="000000"/>
          <w:sz w:val="26"/>
          <w:szCs w:val="26"/>
        </w:rPr>
      </w:r>
    </w:p>
    <w:p>
      <w:pPr>
        <w:pStyle w:val="964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Приложение к письму </w:t>
      </w:r>
      <w:r>
        <w:rPr>
          <w:sz w:val="26"/>
          <w:szCs w:val="26"/>
        </w:rPr>
        <w:t xml:space="preserve">2</w:t>
      </w:r>
      <w:r>
        <w:rPr>
          <w:sz w:val="26"/>
          <w:szCs w:val="26"/>
        </w:rPr>
      </w:r>
    </w:p>
    <w:p>
      <w:pPr>
        <w:jc w:val="right"/>
        <w:rPr>
          <w:color w:val="d9d9d9"/>
          <w:sz w:val="26"/>
          <w:szCs w:val="26"/>
        </w:rPr>
      </w:pPr>
      <w:r>
        <w:rPr>
          <w:sz w:val="26"/>
          <w:szCs w:val="26"/>
        </w:rPr>
        <w:t xml:space="preserve">от </w:t>
      </w:r>
      <w:r>
        <w:rPr>
          <w:color w:val="d9d9d9"/>
          <w:sz w:val="26"/>
          <w:szCs w:val="26"/>
        </w:rPr>
        <w:t xml:space="preserve">[Дата документа] </w:t>
      </w:r>
      <w:r>
        <w:rPr>
          <w:sz w:val="26"/>
          <w:szCs w:val="26"/>
        </w:rPr>
        <w:t xml:space="preserve">№ </w:t>
      </w:r>
      <w:r>
        <w:rPr>
          <w:color w:val="d9d9d9"/>
          <w:sz w:val="26"/>
          <w:szCs w:val="26"/>
        </w:rPr>
        <w:t xml:space="preserve">[Номер документа]</w:t>
      </w:r>
      <w:r>
        <w:rPr>
          <w:color w:val="d9d9d9"/>
          <w:sz w:val="26"/>
          <w:szCs w:val="26"/>
        </w:rPr>
      </w:r>
    </w:p>
    <w:p>
      <w:pPr>
        <w:ind w:firstLine="850"/>
        <w:jc w:val="both"/>
        <w:spacing w:line="276" w:lineRule="auto"/>
        <w:rPr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850"/>
        <w:jc w:val="both"/>
        <w:spacing w:line="276" w:lineRule="auto"/>
        <w:rPr>
          <w:rStyle w:val="959"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</w:r>
      <w:r>
        <w:rPr>
          <w:rStyle w:val="959"/>
          <w:color w:val="000000" w:themeColor="text1"/>
          <w:sz w:val="26"/>
          <w:szCs w:val="26"/>
        </w:rPr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СВЕДЕНИЯ </w:t>
      </w:r>
      <w:r>
        <w:rPr>
          <w:b/>
          <w:sz w:val="26"/>
          <w:szCs w:val="26"/>
        </w:rPr>
      </w:r>
    </w:p>
    <w:p>
      <w:pPr>
        <w:jc w:val="center"/>
        <w:rPr>
          <w:b/>
          <w:sz w:val="26"/>
          <w:szCs w:val="26"/>
        </w:rPr>
      </w:pPr>
      <w:r>
        <w:rPr>
          <w:sz w:val="26"/>
          <w:szCs w:val="26"/>
        </w:rPr>
        <w:t xml:space="preserve">о размещении информации и доведения ее до управляющих организаций</w:t>
      </w:r>
      <w:r>
        <w:rPr>
          <w:b/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</w:p>
    <w:tbl>
      <w:tblPr>
        <w:tblW w:w="92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2"/>
        <w:gridCol w:w="3402"/>
        <w:gridCol w:w="2150"/>
        <w:gridCol w:w="2410"/>
      </w:tblGrid>
      <w:tr>
        <w:tblPrEx/>
        <w:trPr>
          <w:trHeight w:val="316"/>
        </w:trPr>
        <w:tc>
          <w:tcPr>
            <w:gridSpan w:val="4"/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920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Размещение информации на официальных веб-сайтах органов местного самоуправления в информационно-телекоммуникационной сети интернет</w:t>
            </w:r>
            <w:r>
              <w:rPr>
                <w:b/>
              </w:rPr>
            </w:r>
          </w:p>
        </w:tc>
      </w:tr>
      <w:tr>
        <w:tblPrEx/>
        <w:trPr>
          <w:trHeight w:val="224"/>
        </w:trPr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1242" w:type="dxa"/>
            <w:textDirection w:val="lrTb"/>
            <w:noWrap w:val="false"/>
          </w:tcPr>
          <w:p>
            <w:pPr>
              <w:jc w:val="center"/>
            </w:pPr>
            <w:r>
              <w:t xml:space="preserve">№ п/п</w:t>
            </w:r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3402" w:type="dxa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источника размещения на официальных веб-сайтах органов местного самоуправления в информационно-телекоммуникационной сети интернет</w:t>
            </w:r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150" w:type="dxa"/>
            <w:textDirection w:val="lrTb"/>
            <w:noWrap w:val="false"/>
          </w:tcPr>
          <w:p>
            <w:pPr>
              <w:jc w:val="center"/>
            </w:pPr>
            <w:r>
              <w:t xml:space="preserve">Дата размещения</w:t>
            </w:r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jc w:val="center"/>
            </w:pPr>
            <w:r>
              <w:t xml:space="preserve">Активная интернет-ссылка</w:t>
            </w:r>
            <w:r/>
          </w:p>
        </w:tc>
      </w:tr>
      <w:tr>
        <w:tblPrEx/>
        <w:trPr>
          <w:trHeight w:val="260"/>
        </w:trPr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1242" w:type="dxa"/>
            <w:textDirection w:val="lrTb"/>
            <w:noWrap w:val="false"/>
          </w:tcPr>
          <w:p>
            <w:r>
              <w:t xml:space="preserve">1.</w:t>
            </w:r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3402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15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1242" w:type="dxa"/>
            <w:textDirection w:val="lrTb"/>
            <w:noWrap w:val="false"/>
          </w:tcPr>
          <w:p>
            <w:r>
              <w:t xml:space="preserve">2.</w:t>
            </w:r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340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15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1242" w:type="dxa"/>
            <w:textDirection w:val="lrTb"/>
            <w:noWrap w:val="false"/>
          </w:tcPr>
          <w:p>
            <w:r>
              <w:t xml:space="preserve">3.</w:t>
            </w:r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340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15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1242" w:type="dxa"/>
            <w:textDirection w:val="lrTb"/>
            <w:noWrap w:val="false"/>
          </w:tcPr>
          <w:p>
            <w:r>
              <w:t xml:space="preserve">4.</w:t>
            </w:r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340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15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1242" w:type="dxa"/>
            <w:textDirection w:val="lrTb"/>
            <w:noWrap w:val="false"/>
          </w:tcPr>
          <w:p>
            <w:r>
              <w:t xml:space="preserve">5.</w:t>
            </w:r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340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15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gridSpan w:val="4"/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920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Доведение информации до управляющих организаций</w:t>
            </w:r>
            <w:r>
              <w:rPr>
                <w:b/>
              </w:rPr>
            </w:r>
          </w:p>
        </w:tc>
      </w:tr>
      <w:tr>
        <w:tblPrEx/>
        <w:trPr/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1242" w:type="dxa"/>
            <w:textDirection w:val="lrTb"/>
            <w:noWrap w:val="false"/>
          </w:tcPr>
          <w:p>
            <w:pPr>
              <w:jc w:val="center"/>
            </w:pPr>
            <w:r>
              <w:t xml:space="preserve">№ п/п.</w:t>
            </w:r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3402" w:type="dxa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управляющей организации</w:t>
            </w:r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150" w:type="dxa"/>
            <w:textDirection w:val="lrTb"/>
            <w:noWrap w:val="false"/>
          </w:tcPr>
          <w:p>
            <w:pPr>
              <w:jc w:val="center"/>
            </w:pPr>
            <w:r>
              <w:t xml:space="preserve">Дата исх. письма</w:t>
            </w:r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pPr>
              <w:jc w:val="center"/>
            </w:pPr>
            <w:r>
              <w:t xml:space="preserve">№ исх. письма</w:t>
            </w:r>
            <w:r/>
          </w:p>
        </w:tc>
      </w:tr>
      <w:tr>
        <w:tblPrEx/>
        <w:trPr/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1242" w:type="dxa"/>
            <w:textDirection w:val="lrTb"/>
            <w:noWrap w:val="false"/>
          </w:tcPr>
          <w:p>
            <w:r>
              <w:t xml:space="preserve">1.</w:t>
            </w:r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340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15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1242" w:type="dxa"/>
            <w:textDirection w:val="lrTb"/>
            <w:noWrap w:val="false"/>
          </w:tcPr>
          <w:p>
            <w:r>
              <w:t xml:space="preserve">2.</w:t>
            </w:r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340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15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1242" w:type="dxa"/>
            <w:textDirection w:val="lrTb"/>
            <w:noWrap w:val="false"/>
          </w:tcPr>
          <w:p>
            <w:r>
              <w:t xml:space="preserve">3.</w:t>
            </w:r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340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15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1242" w:type="dxa"/>
            <w:textDirection w:val="lrTb"/>
            <w:noWrap w:val="false"/>
          </w:tcPr>
          <w:p>
            <w:r>
              <w:t xml:space="preserve">4.</w:t>
            </w:r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340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15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1242" w:type="dxa"/>
            <w:textDirection w:val="lrTb"/>
            <w:noWrap w:val="false"/>
          </w:tcPr>
          <w:p>
            <w:r>
              <w:t xml:space="preserve">5.</w:t>
            </w:r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340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15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964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1418" w:right="1274" w:bottom="1134" w:left="1559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imes New Roman">
    <w:panose1 w:val="02020603050405020304"/>
  </w:font>
  <w:font w:name="Symbol">
    <w:panose1 w:val="05050102010706020507"/>
  </w:font>
  <w:font w:name="Calibri">
    <w:panose1 w:val="020F0502020204030204"/>
  </w:font>
  <w:font w:name="Tahoma">
    <w:panose1 w:val="020B0604030504040204"/>
  </w:font>
  <w:font w:name="Arial Unicode MS">
    <w:panose1 w:val="020B0604020202020204"/>
  </w:font>
  <w:font w:name="Arial">
    <w:panose1 w:val="020B0604020202020204"/>
  </w:font>
  <w:font w:name="Wingdings">
    <w:panose1 w:val="05000000000000000000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2"/>
      <w:jc w:val="center"/>
    </w:pPr>
    <w:r/>
    <w:r/>
  </w:p>
  <w:p>
    <w:pPr>
      <w:pStyle w:val="97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939"/>
        <w:jc w:val="both"/>
        <w:rPr>
          <w:bCs/>
        </w:rPr>
      </w:pPr>
      <w:r>
        <w:rPr>
          <w:rStyle w:val="941"/>
        </w:rPr>
        <w:footnoteRef/>
      </w:r>
      <w:r>
        <w:t xml:space="preserve"> </w:t>
      </w:r>
      <w:r>
        <w:rPr>
          <w:bCs/>
        </w:rPr>
        <w:t xml:space="preserve">постановление Губернатора Ханты-Мансийского автономного окр</w:t>
      </w:r>
      <w:r>
        <w:rPr>
          <w:bCs/>
        </w:rPr>
        <w:t xml:space="preserve">уга – Югры от 11.12.2023 № 185 (в ред. от 12.12.2025 № 147) «О предельных (максимальных) индексах изменения размера вносимой гражданами платы за коммунальные услуги в муниципальных образованиях Ханты-Мансийского автономного округа – Югры на 2024-2028 годы»</w:t>
      </w:r>
      <w:r>
        <w:rPr>
          <w:bCs/>
        </w:rPr>
      </w:r>
    </w:p>
    <w:p>
      <w:pPr>
        <w:pStyle w:val="939"/>
        <w:jc w:val="both"/>
      </w:pPr>
      <w:r/>
      <w:r/>
    </w:p>
  </w:footnote>
  <w:footnote w:id="3">
    <w:p>
      <w:pPr>
        <w:pStyle w:val="939"/>
        <w:jc w:val="both"/>
      </w:pPr>
      <w:r>
        <w:rPr>
          <w:rStyle w:val="941"/>
        </w:rPr>
        <w:footnoteRef/>
      </w:r>
      <w:r>
        <w:t xml:space="preserve"> </w:t>
      </w:r>
      <w:r>
        <w:rPr>
          <w:bCs/>
        </w:rPr>
        <w:t xml:space="preserve">постановление Губернат</w:t>
      </w:r>
      <w:r>
        <w:rPr>
          <w:bCs/>
          <w:szCs w:val="18"/>
        </w:rPr>
        <w:t xml:space="preserve">ора </w:t>
      </w:r>
      <w:r>
        <w:rPr>
          <w:szCs w:val="18"/>
        </w:rPr>
        <w:t xml:space="preserve">Ханты-Мансийского </w:t>
      </w:r>
      <w:r>
        <w:rPr>
          <w:bCs/>
          <w:szCs w:val="18"/>
        </w:rPr>
        <w:t xml:space="preserve">автономного о</w:t>
      </w:r>
      <w:r>
        <w:rPr>
          <w:bCs/>
        </w:rPr>
        <w:t xml:space="preserve">круга – Югры от 27.06.2025 № 65 «О дополнительной мере социальной поддержки потребителя коммунальных услуг в целях соблюдения установленных предельных индексов»</w:t>
      </w:r>
      <w:r/>
    </w:p>
  </w:footnote>
  <w:footnote w:id="4">
    <w:p>
      <w:pPr>
        <w:pStyle w:val="939"/>
        <w:jc w:val="both"/>
      </w:pPr>
      <w:r>
        <w:rPr>
          <w:rStyle w:val="941"/>
        </w:rPr>
        <w:footnoteRef/>
      </w:r>
      <w:r>
        <w:t xml:space="preserve"> </w:t>
      </w:r>
      <w:r>
        <w:rPr>
          <w:color w:val="000000"/>
          <w:spacing w:val="-4"/>
          <w:szCs w:val="18"/>
        </w:rPr>
        <w:t xml:space="preserve">Закон Ханты-Мансийского автономного округа - Югры</w:t>
      </w:r>
      <w:r>
        <w:rPr>
          <w:color w:val="000000"/>
          <w:spacing w:val="-4"/>
          <w:szCs w:val="18"/>
        </w:rPr>
        <w:t xml:space="preserve"> от 23.04.2013 № 38-оз «О возмещении недополученных доходов организациям, осуществляющим реализацию электрической энергии в зоне децентрализованного электроснабжения Ханты-Мансийского автономного округа - Югры, и наделении органов местного самоуправления м</w:t>
      </w:r>
      <w:r>
        <w:rPr>
          <w:color w:val="000000"/>
          <w:spacing w:val="-4"/>
          <w:szCs w:val="18"/>
        </w:rPr>
        <w:t xml:space="preserve">униципальных образований Ханты-Мансийского автономного округа - Югры отдельным государственным полномочием по предоставлению субсидий на возмещение недополученных доходов организациям, осуществляющим реализацию электрической энергии в зоне децентрализации»</w:t>
      </w:r>
      <w:r>
        <w:t xml:space="preserve"> </w:t>
      </w:r>
      <w:r/>
    </w:p>
  </w:footnote>
  <w:footnote w:id="5">
    <w:p>
      <w:pPr>
        <w:pStyle w:val="939"/>
        <w:jc w:val="both"/>
      </w:pPr>
      <w:r>
        <w:rPr>
          <w:rStyle w:val="941"/>
        </w:rPr>
        <w:footnoteRef/>
      </w:r>
      <w:r>
        <w:t xml:space="preserve"> приказ регионального оператора по обращению с ТКО АО «Югра-Экология» от 23.12.2025 № 01-06-ЮЭ/266 «Об установлении цены для населения на 2026 год»</w:t>
      </w:r>
      <w:r/>
    </w:p>
  </w:footnote>
  <w:footnote w:id="6">
    <w:p>
      <w:pPr>
        <w:pStyle w:val="939"/>
        <w:jc w:val="both"/>
        <w:rPr>
          <w:szCs w:val="18"/>
        </w:rPr>
      </w:pPr>
      <w:r>
        <w:rPr>
          <w:rStyle w:val="941"/>
        </w:rPr>
        <w:footnoteRef/>
      </w:r>
      <w:r>
        <w:t xml:space="preserve"> З</w:t>
      </w:r>
      <w:r>
        <w:rPr>
          <w:rFonts w:eastAsia="Calibri"/>
          <w:szCs w:val="18"/>
        </w:rPr>
        <w:t xml:space="preserve">акон Ханты-Мансийского автономного округа – Югры от 06.07.2005 № 57-оз «О регулировании отдельных жилищных отношений в Ханты-Мансийском автономном округе - Югре»</w:t>
      </w:r>
      <w:r>
        <w:rPr>
          <w:szCs w:val="18"/>
        </w:rPr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0"/>
      <w:jc w:val="center"/>
    </w:pPr>
    <w:r/>
    <w:r/>
  </w:p>
  <w:p>
    <w:pPr>
      <w:pStyle w:val="97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0"/>
      <w:jc w:val="center"/>
    </w:pPr>
    <w:r/>
    <w:r/>
  </w:p>
  <w:p>
    <w:pPr>
      <w:pStyle w:val="97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43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6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149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17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55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938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96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344" w:hanging="216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0"/>
      </w:pPr>
      <w:rPr>
        <w:rFonts w:hint="default"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</w:rPr>
    </w:lvl>
    <w:lvl w:ilvl="1">
      <w:start w:val="1"/>
      <w:numFmt w:val="decimal"/>
      <w:isLgl w:val="false"/>
      <w:suff w:val="tab"/>
      <w:lvlText w:val="%1."/>
      <w:lvlJc w:val="left"/>
      <w:pPr>
        <w:ind w:left="0" w:firstLine="0"/>
      </w:pPr>
      <w:rPr>
        <w:rFonts w:hint="default"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2">
      <w:start w:val="1"/>
      <w:numFmt w:val="decimal"/>
      <w:isLgl w:val="false"/>
      <w:suff w:val="tab"/>
      <w:lvlText w:val="%1."/>
      <w:lvlJc w:val="left"/>
      <w:pPr>
        <w:ind w:left="0" w:firstLine="0"/>
      </w:pPr>
      <w:rPr>
        <w:rFonts w:hint="default"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3">
      <w:start w:val="1"/>
      <w:numFmt w:val="decimal"/>
      <w:isLgl w:val="false"/>
      <w:suff w:val="tab"/>
      <w:lvlText w:val="%1."/>
      <w:lvlJc w:val="left"/>
      <w:pPr>
        <w:ind w:left="0" w:firstLine="0"/>
      </w:pPr>
      <w:rPr>
        <w:rFonts w:hint="default"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4">
      <w:start w:val="1"/>
      <w:numFmt w:val="decimal"/>
      <w:isLgl w:val="false"/>
      <w:suff w:val="tab"/>
      <w:lvlText w:val="%1."/>
      <w:lvlJc w:val="left"/>
      <w:pPr>
        <w:ind w:left="0" w:firstLine="0"/>
      </w:pPr>
      <w:rPr>
        <w:rFonts w:hint="default"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5">
      <w:start w:val="1"/>
      <w:numFmt w:val="decimal"/>
      <w:isLgl w:val="false"/>
      <w:suff w:val="tab"/>
      <w:lvlText w:val="%1."/>
      <w:lvlJc w:val="left"/>
      <w:pPr>
        <w:ind w:left="0" w:firstLine="0"/>
      </w:pPr>
      <w:rPr>
        <w:rFonts w:hint="default"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6">
      <w:start w:val="1"/>
      <w:numFmt w:val="decimal"/>
      <w:isLgl w:val="false"/>
      <w:suff w:val="tab"/>
      <w:lvlText w:val="%1."/>
      <w:lvlJc w:val="left"/>
      <w:pPr>
        <w:ind w:left="0" w:firstLine="0"/>
      </w:pPr>
      <w:rPr>
        <w:rFonts w:hint="default"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7">
      <w:start w:val="1"/>
      <w:numFmt w:val="decimal"/>
      <w:isLgl w:val="false"/>
      <w:suff w:val="tab"/>
      <w:lvlText w:val="%1."/>
      <w:lvlJc w:val="left"/>
      <w:pPr>
        <w:ind w:left="0" w:firstLine="0"/>
      </w:pPr>
      <w:rPr>
        <w:rFonts w:hint="default"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8">
      <w:start w:val="1"/>
      <w:numFmt w:val="decimal"/>
      <w:isLgl w:val="false"/>
      <w:suff w:val="tab"/>
      <w:lvlText w:val="%1."/>
      <w:lvlJc w:val="left"/>
      <w:pPr>
        <w:ind w:left="0" w:firstLine="0"/>
      </w:pPr>
      <w:rPr>
        <w:rFonts w:hint="default"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3"/>
  </w:num>
  <w:num w:numId="8">
    <w:abstractNumId w:val="9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89"/>
    <w:link w:val="78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789"/>
    <w:link w:val="781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789"/>
    <w:link w:val="78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89"/>
    <w:link w:val="78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789"/>
    <w:link w:val="78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789"/>
    <w:link w:val="78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789"/>
    <w:link w:val="78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789"/>
    <w:link w:val="78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789"/>
    <w:link w:val="78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6">
    <w:name w:val="Title Char"/>
    <w:basedOn w:val="789"/>
    <w:link w:val="802"/>
    <w:uiPriority w:val="10"/>
    <w:rPr>
      <w:sz w:val="48"/>
      <w:szCs w:val="48"/>
    </w:rPr>
  </w:style>
  <w:style w:type="character" w:styleId="38">
    <w:name w:val="Subtitle Char"/>
    <w:basedOn w:val="789"/>
    <w:link w:val="804"/>
    <w:uiPriority w:val="11"/>
    <w:rPr>
      <w:sz w:val="24"/>
      <w:szCs w:val="24"/>
    </w:rPr>
  </w:style>
  <w:style w:type="character" w:styleId="40">
    <w:name w:val="Quote Char"/>
    <w:link w:val="806"/>
    <w:uiPriority w:val="29"/>
    <w:rPr>
      <w:i/>
    </w:rPr>
  </w:style>
  <w:style w:type="character" w:styleId="42">
    <w:name w:val="Intense Quote Char"/>
    <w:link w:val="808"/>
    <w:uiPriority w:val="30"/>
    <w:rPr>
      <w:i/>
    </w:rPr>
  </w:style>
  <w:style w:type="character" w:styleId="48">
    <w:name w:val="Caption Char"/>
    <w:basedOn w:val="789"/>
    <w:link w:val="812"/>
    <w:uiPriority w:val="35"/>
    <w:rPr>
      <w:b/>
      <w:bCs/>
      <w:color w:val="4f81bd" w:themeColor="accent1"/>
      <w:sz w:val="18"/>
      <w:szCs w:val="18"/>
    </w:rPr>
  </w:style>
  <w:style w:type="character" w:styleId="177">
    <w:name w:val="Footnote Text Char"/>
    <w:link w:val="939"/>
    <w:uiPriority w:val="99"/>
    <w:rPr>
      <w:sz w:val="18"/>
    </w:rPr>
  </w:style>
  <w:style w:type="character" w:styleId="180">
    <w:name w:val="Endnote Text Char"/>
    <w:link w:val="942"/>
    <w:uiPriority w:val="99"/>
    <w:rPr>
      <w:sz w:val="20"/>
    </w:rPr>
  </w:style>
  <w:style w:type="paragraph" w:styleId="779" w:default="1">
    <w:name w:val="Normal"/>
    <w:qFormat/>
    <w:rPr>
      <w:sz w:val="24"/>
      <w:szCs w:val="24"/>
    </w:rPr>
  </w:style>
  <w:style w:type="paragraph" w:styleId="780">
    <w:name w:val="Heading 1"/>
    <w:basedOn w:val="779"/>
    <w:next w:val="779"/>
    <w:link w:val="79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81">
    <w:name w:val="Heading 2"/>
    <w:basedOn w:val="779"/>
    <w:next w:val="779"/>
    <w:link w:val="79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82">
    <w:name w:val="Heading 3"/>
    <w:basedOn w:val="779"/>
    <w:next w:val="779"/>
    <w:link w:val="7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83">
    <w:name w:val="Heading 4"/>
    <w:basedOn w:val="779"/>
    <w:next w:val="779"/>
    <w:link w:val="79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84">
    <w:name w:val="Heading 5"/>
    <w:basedOn w:val="779"/>
    <w:next w:val="779"/>
    <w:link w:val="7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85">
    <w:name w:val="Heading 6"/>
    <w:basedOn w:val="779"/>
    <w:next w:val="779"/>
    <w:link w:val="7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86">
    <w:name w:val="Heading 7"/>
    <w:basedOn w:val="779"/>
    <w:next w:val="779"/>
    <w:link w:val="79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87">
    <w:name w:val="Heading 8"/>
    <w:basedOn w:val="779"/>
    <w:next w:val="779"/>
    <w:link w:val="7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88">
    <w:name w:val="Heading 9"/>
    <w:basedOn w:val="779"/>
    <w:next w:val="779"/>
    <w:link w:val="80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9" w:default="1">
    <w:name w:val="Default Paragraph Font"/>
    <w:uiPriority w:val="1"/>
    <w:semiHidden/>
    <w:unhideWhenUsed/>
  </w:style>
  <w:style w:type="table" w:styleId="79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91" w:default="1">
    <w:name w:val="No List"/>
    <w:uiPriority w:val="99"/>
    <w:semiHidden/>
    <w:unhideWhenUsed/>
  </w:style>
  <w:style w:type="character" w:styleId="792" w:customStyle="1">
    <w:name w:val="Заголовок 1 Знак"/>
    <w:basedOn w:val="789"/>
    <w:link w:val="780"/>
    <w:uiPriority w:val="9"/>
    <w:rPr>
      <w:rFonts w:ascii="Arial" w:hAnsi="Arial" w:eastAsia="Arial" w:cs="Arial"/>
      <w:sz w:val="40"/>
      <w:szCs w:val="40"/>
    </w:rPr>
  </w:style>
  <w:style w:type="character" w:styleId="793" w:customStyle="1">
    <w:name w:val="Заголовок 2 Знак"/>
    <w:basedOn w:val="789"/>
    <w:link w:val="781"/>
    <w:uiPriority w:val="9"/>
    <w:rPr>
      <w:rFonts w:ascii="Arial" w:hAnsi="Arial" w:eastAsia="Arial" w:cs="Arial"/>
      <w:sz w:val="34"/>
    </w:rPr>
  </w:style>
  <w:style w:type="character" w:styleId="794" w:customStyle="1">
    <w:name w:val="Заголовок 3 Знак"/>
    <w:basedOn w:val="789"/>
    <w:link w:val="782"/>
    <w:uiPriority w:val="9"/>
    <w:rPr>
      <w:rFonts w:ascii="Arial" w:hAnsi="Arial" w:eastAsia="Arial" w:cs="Arial"/>
      <w:sz w:val="30"/>
      <w:szCs w:val="30"/>
    </w:rPr>
  </w:style>
  <w:style w:type="character" w:styleId="795" w:customStyle="1">
    <w:name w:val="Заголовок 4 Знак"/>
    <w:basedOn w:val="789"/>
    <w:link w:val="783"/>
    <w:uiPriority w:val="9"/>
    <w:rPr>
      <w:rFonts w:ascii="Arial" w:hAnsi="Arial" w:eastAsia="Arial" w:cs="Arial"/>
      <w:b/>
      <w:bCs/>
      <w:sz w:val="26"/>
      <w:szCs w:val="26"/>
    </w:rPr>
  </w:style>
  <w:style w:type="character" w:styleId="796" w:customStyle="1">
    <w:name w:val="Заголовок 5 Знак"/>
    <w:basedOn w:val="789"/>
    <w:link w:val="784"/>
    <w:uiPriority w:val="9"/>
    <w:rPr>
      <w:rFonts w:ascii="Arial" w:hAnsi="Arial" w:eastAsia="Arial" w:cs="Arial"/>
      <w:b/>
      <w:bCs/>
      <w:sz w:val="24"/>
      <w:szCs w:val="24"/>
    </w:rPr>
  </w:style>
  <w:style w:type="character" w:styleId="797" w:customStyle="1">
    <w:name w:val="Заголовок 6 Знак"/>
    <w:basedOn w:val="789"/>
    <w:link w:val="785"/>
    <w:uiPriority w:val="9"/>
    <w:rPr>
      <w:rFonts w:ascii="Arial" w:hAnsi="Arial" w:eastAsia="Arial" w:cs="Arial"/>
      <w:b/>
      <w:bCs/>
      <w:sz w:val="22"/>
      <w:szCs w:val="22"/>
    </w:rPr>
  </w:style>
  <w:style w:type="character" w:styleId="798" w:customStyle="1">
    <w:name w:val="Заголовок 7 Знак"/>
    <w:basedOn w:val="789"/>
    <w:link w:val="7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99" w:customStyle="1">
    <w:name w:val="Заголовок 8 Знак"/>
    <w:basedOn w:val="789"/>
    <w:link w:val="787"/>
    <w:uiPriority w:val="9"/>
    <w:rPr>
      <w:rFonts w:ascii="Arial" w:hAnsi="Arial" w:eastAsia="Arial" w:cs="Arial"/>
      <w:i/>
      <w:iCs/>
      <w:sz w:val="22"/>
      <w:szCs w:val="22"/>
    </w:rPr>
  </w:style>
  <w:style w:type="character" w:styleId="800" w:customStyle="1">
    <w:name w:val="Заголовок 9 Знак"/>
    <w:basedOn w:val="789"/>
    <w:link w:val="788"/>
    <w:uiPriority w:val="9"/>
    <w:rPr>
      <w:rFonts w:ascii="Arial" w:hAnsi="Arial" w:eastAsia="Arial" w:cs="Arial"/>
      <w:i/>
      <w:iCs/>
      <w:sz w:val="21"/>
      <w:szCs w:val="21"/>
    </w:rPr>
  </w:style>
  <w:style w:type="paragraph" w:styleId="801">
    <w:name w:val="List Paragraph"/>
    <w:basedOn w:val="779"/>
    <w:uiPriority w:val="34"/>
    <w:qFormat/>
    <w:pPr>
      <w:contextualSpacing/>
      <w:ind w:left="720"/>
    </w:pPr>
  </w:style>
  <w:style w:type="paragraph" w:styleId="802">
    <w:name w:val="Title"/>
    <w:basedOn w:val="779"/>
    <w:next w:val="779"/>
    <w:link w:val="80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03" w:customStyle="1">
    <w:name w:val="Заголовок Знак"/>
    <w:basedOn w:val="789"/>
    <w:link w:val="802"/>
    <w:uiPriority w:val="10"/>
    <w:rPr>
      <w:sz w:val="48"/>
      <w:szCs w:val="48"/>
    </w:rPr>
  </w:style>
  <w:style w:type="paragraph" w:styleId="804">
    <w:name w:val="Subtitle"/>
    <w:basedOn w:val="779"/>
    <w:next w:val="779"/>
    <w:link w:val="805"/>
    <w:uiPriority w:val="11"/>
    <w:qFormat/>
    <w:pPr>
      <w:spacing w:before="200" w:after="200"/>
    </w:pPr>
  </w:style>
  <w:style w:type="character" w:styleId="805" w:customStyle="1">
    <w:name w:val="Подзаголовок Знак"/>
    <w:basedOn w:val="789"/>
    <w:link w:val="804"/>
    <w:uiPriority w:val="11"/>
    <w:rPr>
      <w:sz w:val="24"/>
      <w:szCs w:val="24"/>
    </w:rPr>
  </w:style>
  <w:style w:type="paragraph" w:styleId="806">
    <w:name w:val="Quote"/>
    <w:basedOn w:val="779"/>
    <w:next w:val="779"/>
    <w:link w:val="807"/>
    <w:uiPriority w:val="29"/>
    <w:qFormat/>
    <w:pPr>
      <w:ind w:left="720" w:right="720"/>
    </w:pPr>
    <w:rPr>
      <w:i/>
    </w:rPr>
  </w:style>
  <w:style w:type="character" w:styleId="807" w:customStyle="1">
    <w:name w:val="Цитата 2 Знак"/>
    <w:link w:val="806"/>
    <w:uiPriority w:val="29"/>
    <w:rPr>
      <w:i/>
    </w:rPr>
  </w:style>
  <w:style w:type="paragraph" w:styleId="808">
    <w:name w:val="Intense Quote"/>
    <w:basedOn w:val="779"/>
    <w:next w:val="779"/>
    <w:link w:val="8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9" w:customStyle="1">
    <w:name w:val="Выделенная цитата Знак"/>
    <w:link w:val="808"/>
    <w:uiPriority w:val="30"/>
    <w:rPr>
      <w:i/>
    </w:rPr>
  </w:style>
  <w:style w:type="character" w:styleId="810" w:customStyle="1">
    <w:name w:val="Header Char"/>
    <w:basedOn w:val="789"/>
    <w:uiPriority w:val="99"/>
  </w:style>
  <w:style w:type="character" w:styleId="811" w:customStyle="1">
    <w:name w:val="Footer Char"/>
    <w:basedOn w:val="789"/>
    <w:uiPriority w:val="99"/>
  </w:style>
  <w:style w:type="paragraph" w:styleId="812">
    <w:name w:val="Caption"/>
    <w:basedOn w:val="779"/>
    <w:next w:val="779"/>
    <w:link w:val="813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813" w:customStyle="1">
    <w:name w:val="Название объекта Знак"/>
    <w:basedOn w:val="789"/>
    <w:link w:val="812"/>
    <w:uiPriority w:val="35"/>
    <w:rPr>
      <w:b/>
      <w:bCs/>
      <w:color w:val="4472c4" w:themeColor="accent1"/>
      <w:sz w:val="18"/>
      <w:szCs w:val="18"/>
    </w:rPr>
  </w:style>
  <w:style w:type="table" w:styleId="814" w:customStyle="1">
    <w:name w:val="Table Grid Light"/>
    <w:basedOn w:val="79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15">
    <w:name w:val="Plain Table 1"/>
    <w:basedOn w:val="79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6">
    <w:name w:val="Plain Table 2"/>
    <w:basedOn w:val="79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7">
    <w:name w:val="Plain Table 3"/>
    <w:basedOn w:val="7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8">
    <w:name w:val="Plain Table 4"/>
    <w:basedOn w:val="7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Plain Table 5"/>
    <w:basedOn w:val="7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0">
    <w:name w:val="Grid Table 1 Light"/>
    <w:basedOn w:val="79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Grid Table 1 Light - Accent 1"/>
    <w:basedOn w:val="790"/>
    <w:uiPriority w:val="99"/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Grid Table 1 Light - Accent 2"/>
    <w:basedOn w:val="790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Grid Table 1 Light - Accent 3"/>
    <w:basedOn w:val="790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Grid Table 1 Light - Accent 4"/>
    <w:basedOn w:val="790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Grid Table 1 Light - Accent 5"/>
    <w:basedOn w:val="790"/>
    <w:uiPriority w:val="99"/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Grid Table 1 Light - Accent 6"/>
    <w:basedOn w:val="790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Grid Table 2"/>
    <w:basedOn w:val="79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2 - Accent 1"/>
    <w:basedOn w:val="790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2 - Accent 2"/>
    <w:basedOn w:val="790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2 - Accent 3"/>
    <w:basedOn w:val="790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2 - Accent 4"/>
    <w:basedOn w:val="790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2 - Accent 5"/>
    <w:basedOn w:val="790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2 - Accent 6"/>
    <w:basedOn w:val="790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3"/>
    <w:basedOn w:val="79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3 - Accent 1"/>
    <w:basedOn w:val="790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3 - Accent 2"/>
    <w:basedOn w:val="790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3 - Accent 3"/>
    <w:basedOn w:val="790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3 - Accent 4"/>
    <w:basedOn w:val="790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3 - Accent 5"/>
    <w:basedOn w:val="790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3 - Accent 6"/>
    <w:basedOn w:val="790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4"/>
    <w:basedOn w:val="79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2" w:customStyle="1">
    <w:name w:val="Grid Table 4 - Accent 1"/>
    <w:basedOn w:val="790"/>
    <w:uiPriority w:val="5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843" w:customStyle="1">
    <w:name w:val="Grid Table 4 - Accent 2"/>
    <w:basedOn w:val="790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44" w:customStyle="1">
    <w:name w:val="Grid Table 4 - Accent 3"/>
    <w:basedOn w:val="790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45" w:customStyle="1">
    <w:name w:val="Grid Table 4 - Accent 4"/>
    <w:basedOn w:val="790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46" w:customStyle="1">
    <w:name w:val="Grid Table 4 - Accent 5"/>
    <w:basedOn w:val="790"/>
    <w:uiPriority w:val="5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847" w:customStyle="1">
    <w:name w:val="Grid Table 4 - Accent 6"/>
    <w:basedOn w:val="790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48">
    <w:name w:val="Grid Table 5 Dark"/>
    <w:basedOn w:val="7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9" w:customStyle="1">
    <w:name w:val="Grid Table 5 Dark- Accent 1"/>
    <w:basedOn w:val="7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850" w:customStyle="1">
    <w:name w:val="Grid Table 5 Dark - Accent 2"/>
    <w:basedOn w:val="7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51" w:customStyle="1">
    <w:name w:val="Grid Table 5 Dark - Accent 3"/>
    <w:basedOn w:val="7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52" w:customStyle="1">
    <w:name w:val="Grid Table 5 Dark- Accent 4"/>
    <w:basedOn w:val="7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53" w:customStyle="1">
    <w:name w:val="Grid Table 5 Dark - Accent 5"/>
    <w:basedOn w:val="7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854" w:customStyle="1">
    <w:name w:val="Grid Table 5 Dark - Accent 6"/>
    <w:basedOn w:val="7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55">
    <w:name w:val="Grid Table 6 Colorful"/>
    <w:basedOn w:val="79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6" w:customStyle="1">
    <w:name w:val="Grid Table 6 Colorful - Accent 1"/>
    <w:basedOn w:val="790"/>
    <w:uiPriority w:val="99"/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857" w:customStyle="1">
    <w:name w:val="Grid Table 6 Colorful - Accent 2"/>
    <w:basedOn w:val="790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58" w:customStyle="1">
    <w:name w:val="Grid Table 6 Colorful - Accent 3"/>
    <w:basedOn w:val="790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59" w:customStyle="1">
    <w:name w:val="Grid Table 6 Colorful - Accent 4"/>
    <w:basedOn w:val="790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60" w:customStyle="1">
    <w:name w:val="Grid Table 6 Colorful - Accent 5"/>
    <w:basedOn w:val="790"/>
    <w:uiPriority w:val="99"/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61" w:customStyle="1">
    <w:name w:val="Grid Table 6 Colorful - Accent 6"/>
    <w:basedOn w:val="790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62">
    <w:name w:val="Grid Table 7 Colorful"/>
    <w:basedOn w:val="79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Grid Table 7 Colorful - Accent 1"/>
    <w:basedOn w:val="790"/>
    <w:uiPriority w:val="99"/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Arial" w:hAnsi="Arial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0B7E1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0B7E1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Grid Table 7 Colorful - Accent 2"/>
    <w:basedOn w:val="790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Grid Table 7 Colorful - Accent 3"/>
    <w:basedOn w:val="790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Grid Table 7 Colorful - Accent 4"/>
    <w:basedOn w:val="790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Grid Table 7 Colorful - Accent 5"/>
    <w:basedOn w:val="790"/>
    <w:uiPriority w:val="99"/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Arial" w:hAnsi="Arial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A2C6E7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Grid Table 7 Colorful - Accent 6"/>
    <w:basedOn w:val="790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List Table 1 Light"/>
    <w:basedOn w:val="79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1 Light - Accent 1"/>
    <w:basedOn w:val="790"/>
    <w:uiPriority w:val="99"/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1 Light - Accent 2"/>
    <w:basedOn w:val="790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1 Light - Accent 3"/>
    <w:basedOn w:val="790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1 Light - Accent 4"/>
    <w:basedOn w:val="790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1 Light - Accent 5"/>
    <w:basedOn w:val="790"/>
    <w:uiPriority w:val="99"/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1 Light - Accent 6"/>
    <w:basedOn w:val="790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>
    <w:name w:val="List Table 2"/>
    <w:basedOn w:val="79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7" w:customStyle="1">
    <w:name w:val="List Table 2 - Accent 1"/>
    <w:basedOn w:val="790"/>
    <w:uiPriority w:val="99"/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878" w:customStyle="1">
    <w:name w:val="List Table 2 - Accent 2"/>
    <w:basedOn w:val="790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79" w:customStyle="1">
    <w:name w:val="List Table 2 - Accent 3"/>
    <w:basedOn w:val="790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80" w:customStyle="1">
    <w:name w:val="List Table 2 - Accent 4"/>
    <w:basedOn w:val="790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81" w:customStyle="1">
    <w:name w:val="List Table 2 - Accent 5"/>
    <w:basedOn w:val="790"/>
    <w:uiPriority w:val="99"/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882" w:customStyle="1">
    <w:name w:val="List Table 2 - Accent 6"/>
    <w:basedOn w:val="790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83">
    <w:name w:val="List Table 3"/>
    <w:basedOn w:val="79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3 - Accent 1"/>
    <w:basedOn w:val="790"/>
    <w:uiPriority w:val="99"/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3 - Accent 2"/>
    <w:basedOn w:val="790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3 - Accent 3"/>
    <w:basedOn w:val="790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3 - Accent 4"/>
    <w:basedOn w:val="790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3 - Accent 5"/>
    <w:basedOn w:val="790"/>
    <w:uiPriority w:val="99"/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3 - Accent 6"/>
    <w:basedOn w:val="790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>
    <w:name w:val="List Table 4"/>
    <w:basedOn w:val="79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4 - Accent 1"/>
    <w:basedOn w:val="790"/>
    <w:uiPriority w:val="9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4 - Accent 2"/>
    <w:basedOn w:val="790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4 - Accent 3"/>
    <w:basedOn w:val="790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4 - Accent 4"/>
    <w:basedOn w:val="790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4 - Accent 5"/>
    <w:basedOn w:val="790"/>
    <w:uiPriority w:val="9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List Table 4 - Accent 6"/>
    <w:basedOn w:val="790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>
    <w:name w:val="List Table 5 Dark"/>
    <w:basedOn w:val="79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8" w:customStyle="1">
    <w:name w:val="List Table 5 Dark - Accent 1"/>
    <w:basedOn w:val="790"/>
    <w:uiPriority w:val="99"/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9" w:customStyle="1">
    <w:name w:val="List Table 5 Dark - Accent 2"/>
    <w:basedOn w:val="790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0" w:customStyle="1">
    <w:name w:val="List Table 5 Dark - Accent 3"/>
    <w:basedOn w:val="790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1" w:customStyle="1">
    <w:name w:val="List Table 5 Dark - Accent 4"/>
    <w:basedOn w:val="790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2" w:customStyle="1">
    <w:name w:val="List Table 5 Dark - Accent 5"/>
    <w:basedOn w:val="790"/>
    <w:uiPriority w:val="99"/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3" w:customStyle="1">
    <w:name w:val="List Table 5 Dark - Accent 6"/>
    <w:basedOn w:val="790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4">
    <w:name w:val="List Table 6 Colorful"/>
    <w:basedOn w:val="79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5" w:customStyle="1">
    <w:name w:val="List Table 6 Colorful - Accent 1"/>
    <w:basedOn w:val="790"/>
    <w:uiPriority w:val="99"/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906" w:customStyle="1">
    <w:name w:val="List Table 6 Colorful - Accent 2"/>
    <w:basedOn w:val="790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907" w:customStyle="1">
    <w:name w:val="List Table 6 Colorful - Accent 3"/>
    <w:basedOn w:val="790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908" w:customStyle="1">
    <w:name w:val="List Table 6 Colorful - Accent 4"/>
    <w:basedOn w:val="790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909" w:customStyle="1">
    <w:name w:val="List Table 6 Colorful - Accent 5"/>
    <w:basedOn w:val="790"/>
    <w:uiPriority w:val="99"/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910" w:customStyle="1">
    <w:name w:val="List Table 6 Colorful - Accent 6"/>
    <w:basedOn w:val="790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911">
    <w:name w:val="List Table 7 Colorful"/>
    <w:basedOn w:val="79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List Table 7 Colorful - Accent 1"/>
    <w:basedOn w:val="790"/>
    <w:uiPriority w:val="99"/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Arial" w:hAnsi="Arial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List Table 7 Colorful - Accent 2"/>
    <w:basedOn w:val="790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List Table 7 Colorful - Accent 3"/>
    <w:basedOn w:val="790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 w:customStyle="1">
    <w:name w:val="List Table 7 Colorful - Accent 4"/>
    <w:basedOn w:val="790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 w:customStyle="1">
    <w:name w:val="List Table 7 Colorful - Accent 5"/>
    <w:basedOn w:val="790"/>
    <w:uiPriority w:val="99"/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Arial" w:hAnsi="Arial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C2E5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BC2E5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 w:customStyle="1">
    <w:name w:val="List Table 7 Colorful - Accent 6"/>
    <w:basedOn w:val="790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 w:customStyle="1">
    <w:name w:val="Lined - Accent"/>
    <w:basedOn w:val="7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9" w:customStyle="1">
    <w:name w:val="Lined - Accent 1"/>
    <w:basedOn w:val="7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920" w:customStyle="1">
    <w:name w:val="Lined - Accent 2"/>
    <w:basedOn w:val="7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21" w:customStyle="1">
    <w:name w:val="Lined - Accent 3"/>
    <w:basedOn w:val="7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22" w:customStyle="1">
    <w:name w:val="Lined - Accent 4"/>
    <w:basedOn w:val="7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23" w:customStyle="1">
    <w:name w:val="Lined - Accent 5"/>
    <w:basedOn w:val="7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924" w:customStyle="1">
    <w:name w:val="Lined - Accent 6"/>
    <w:basedOn w:val="7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25" w:customStyle="1">
    <w:name w:val="Bordered &amp; Lined - Accent"/>
    <w:basedOn w:val="79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6" w:customStyle="1">
    <w:name w:val="Bordered &amp; Lined - Accent 1"/>
    <w:basedOn w:val="790"/>
    <w:uiPriority w:val="99"/>
    <w:rPr>
      <w:color w:val="404040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927" w:customStyle="1">
    <w:name w:val="Bordered &amp; Lined - Accent 2"/>
    <w:basedOn w:val="790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28" w:customStyle="1">
    <w:name w:val="Bordered &amp; Lined - Accent 3"/>
    <w:basedOn w:val="790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29" w:customStyle="1">
    <w:name w:val="Bordered &amp; Lined - Accent 4"/>
    <w:basedOn w:val="790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30" w:customStyle="1">
    <w:name w:val="Bordered &amp; Lined - Accent 5"/>
    <w:basedOn w:val="790"/>
    <w:uiPriority w:val="99"/>
    <w:rPr>
      <w:color w:val="404040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931" w:customStyle="1">
    <w:name w:val="Bordered &amp; Lined - Accent 6"/>
    <w:basedOn w:val="790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32" w:customStyle="1">
    <w:name w:val="Bordered"/>
    <w:basedOn w:val="79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33" w:customStyle="1">
    <w:name w:val="Bordered - Accent 1"/>
    <w:basedOn w:val="790"/>
    <w:uiPriority w:val="99"/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934" w:customStyle="1">
    <w:name w:val="Bordered - Accent 2"/>
    <w:basedOn w:val="790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35" w:customStyle="1">
    <w:name w:val="Bordered - Accent 3"/>
    <w:basedOn w:val="790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36" w:customStyle="1">
    <w:name w:val="Bordered - Accent 4"/>
    <w:basedOn w:val="790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37" w:customStyle="1">
    <w:name w:val="Bordered - Accent 5"/>
    <w:basedOn w:val="790"/>
    <w:uiPriority w:val="99"/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938" w:customStyle="1">
    <w:name w:val="Bordered - Accent 6"/>
    <w:basedOn w:val="790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939">
    <w:name w:val="footnote text"/>
    <w:basedOn w:val="779"/>
    <w:link w:val="940"/>
    <w:uiPriority w:val="99"/>
    <w:semiHidden/>
    <w:unhideWhenUsed/>
    <w:pPr>
      <w:spacing w:after="40"/>
    </w:pPr>
    <w:rPr>
      <w:sz w:val="18"/>
    </w:rPr>
  </w:style>
  <w:style w:type="character" w:styleId="940" w:customStyle="1">
    <w:name w:val="Текст сноски Знак"/>
    <w:link w:val="939"/>
    <w:uiPriority w:val="99"/>
    <w:rPr>
      <w:sz w:val="18"/>
    </w:rPr>
  </w:style>
  <w:style w:type="character" w:styleId="941">
    <w:name w:val="footnote reference"/>
    <w:basedOn w:val="789"/>
    <w:uiPriority w:val="99"/>
    <w:unhideWhenUsed/>
    <w:rPr>
      <w:vertAlign w:val="superscript"/>
    </w:rPr>
  </w:style>
  <w:style w:type="paragraph" w:styleId="942">
    <w:name w:val="endnote text"/>
    <w:basedOn w:val="779"/>
    <w:link w:val="943"/>
    <w:uiPriority w:val="99"/>
    <w:semiHidden/>
    <w:unhideWhenUsed/>
    <w:rPr>
      <w:sz w:val="20"/>
    </w:rPr>
  </w:style>
  <w:style w:type="character" w:styleId="943" w:customStyle="1">
    <w:name w:val="Текст концевой сноски Знак"/>
    <w:link w:val="942"/>
    <w:uiPriority w:val="99"/>
    <w:rPr>
      <w:sz w:val="20"/>
    </w:rPr>
  </w:style>
  <w:style w:type="character" w:styleId="944">
    <w:name w:val="endnote reference"/>
    <w:basedOn w:val="789"/>
    <w:uiPriority w:val="99"/>
    <w:semiHidden/>
    <w:unhideWhenUsed/>
    <w:rPr>
      <w:vertAlign w:val="superscript"/>
    </w:rPr>
  </w:style>
  <w:style w:type="paragraph" w:styleId="945">
    <w:name w:val="toc 1"/>
    <w:basedOn w:val="779"/>
    <w:next w:val="779"/>
    <w:uiPriority w:val="39"/>
    <w:unhideWhenUsed/>
    <w:pPr>
      <w:spacing w:after="57"/>
    </w:pPr>
  </w:style>
  <w:style w:type="paragraph" w:styleId="946">
    <w:name w:val="toc 2"/>
    <w:basedOn w:val="779"/>
    <w:next w:val="779"/>
    <w:uiPriority w:val="39"/>
    <w:unhideWhenUsed/>
    <w:pPr>
      <w:ind w:left="283"/>
      <w:spacing w:after="57"/>
    </w:pPr>
  </w:style>
  <w:style w:type="paragraph" w:styleId="947">
    <w:name w:val="toc 3"/>
    <w:basedOn w:val="779"/>
    <w:next w:val="779"/>
    <w:uiPriority w:val="39"/>
    <w:unhideWhenUsed/>
    <w:pPr>
      <w:ind w:left="567"/>
      <w:spacing w:after="57"/>
    </w:pPr>
  </w:style>
  <w:style w:type="paragraph" w:styleId="948">
    <w:name w:val="toc 4"/>
    <w:basedOn w:val="779"/>
    <w:next w:val="779"/>
    <w:uiPriority w:val="39"/>
    <w:unhideWhenUsed/>
    <w:pPr>
      <w:ind w:left="850"/>
      <w:spacing w:after="57"/>
    </w:pPr>
  </w:style>
  <w:style w:type="paragraph" w:styleId="949">
    <w:name w:val="toc 5"/>
    <w:basedOn w:val="779"/>
    <w:next w:val="779"/>
    <w:uiPriority w:val="39"/>
    <w:unhideWhenUsed/>
    <w:pPr>
      <w:ind w:left="1134"/>
      <w:spacing w:after="57"/>
    </w:pPr>
  </w:style>
  <w:style w:type="paragraph" w:styleId="950">
    <w:name w:val="toc 6"/>
    <w:basedOn w:val="779"/>
    <w:next w:val="779"/>
    <w:uiPriority w:val="39"/>
    <w:unhideWhenUsed/>
    <w:pPr>
      <w:ind w:left="1417"/>
      <w:spacing w:after="57"/>
    </w:pPr>
  </w:style>
  <w:style w:type="paragraph" w:styleId="951">
    <w:name w:val="toc 7"/>
    <w:basedOn w:val="779"/>
    <w:next w:val="779"/>
    <w:uiPriority w:val="39"/>
    <w:unhideWhenUsed/>
    <w:pPr>
      <w:ind w:left="1701"/>
      <w:spacing w:after="57"/>
    </w:pPr>
  </w:style>
  <w:style w:type="paragraph" w:styleId="952">
    <w:name w:val="toc 8"/>
    <w:basedOn w:val="779"/>
    <w:next w:val="779"/>
    <w:uiPriority w:val="39"/>
    <w:unhideWhenUsed/>
    <w:pPr>
      <w:ind w:left="1984"/>
      <w:spacing w:after="57"/>
    </w:pPr>
  </w:style>
  <w:style w:type="paragraph" w:styleId="953">
    <w:name w:val="toc 9"/>
    <w:basedOn w:val="779"/>
    <w:next w:val="779"/>
    <w:uiPriority w:val="39"/>
    <w:unhideWhenUsed/>
    <w:pPr>
      <w:ind w:left="2268"/>
      <w:spacing w:after="57"/>
    </w:pPr>
  </w:style>
  <w:style w:type="paragraph" w:styleId="954">
    <w:name w:val="TOC Heading"/>
    <w:uiPriority w:val="39"/>
    <w:unhideWhenUsed/>
  </w:style>
  <w:style w:type="paragraph" w:styleId="955">
    <w:name w:val="table of figures"/>
    <w:basedOn w:val="779"/>
    <w:next w:val="779"/>
    <w:uiPriority w:val="99"/>
    <w:unhideWhenUsed/>
  </w:style>
  <w:style w:type="paragraph" w:styleId="956">
    <w:name w:val="Balloon Text"/>
    <w:basedOn w:val="779"/>
    <w:semiHidden/>
    <w:rPr>
      <w:rFonts w:ascii="Tahoma" w:hAnsi="Tahoma" w:cs="Tahoma"/>
      <w:sz w:val="16"/>
      <w:szCs w:val="16"/>
    </w:rPr>
  </w:style>
  <w:style w:type="paragraph" w:styleId="957" w:customStyle="1">
    <w:name w:val="Название1"/>
    <w:basedOn w:val="779"/>
    <w:link w:val="958"/>
    <w:qFormat/>
    <w:pPr>
      <w:jc w:val="center"/>
    </w:pPr>
    <w:rPr>
      <w:sz w:val="28"/>
      <w:szCs w:val="20"/>
    </w:rPr>
  </w:style>
  <w:style w:type="character" w:styleId="958" w:customStyle="1">
    <w:name w:val="Название Знак"/>
    <w:link w:val="957"/>
    <w:rPr>
      <w:sz w:val="28"/>
    </w:rPr>
  </w:style>
  <w:style w:type="character" w:styleId="959">
    <w:name w:val="Hyperlink"/>
    <w:rPr>
      <w:color w:val="0000ff"/>
      <w:u w:val="single"/>
    </w:rPr>
  </w:style>
  <w:style w:type="paragraph" w:styleId="960">
    <w:name w:val="Body Text"/>
    <w:basedOn w:val="779"/>
    <w:link w:val="961"/>
    <w:pPr>
      <w:spacing w:after="120"/>
    </w:pPr>
  </w:style>
  <w:style w:type="character" w:styleId="961" w:customStyle="1">
    <w:name w:val="Основной текст Знак"/>
    <w:link w:val="960"/>
    <w:rPr>
      <w:sz w:val="24"/>
      <w:szCs w:val="24"/>
    </w:rPr>
  </w:style>
  <w:style w:type="paragraph" w:styleId="962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table" w:styleId="963">
    <w:name w:val="Table Grid"/>
    <w:basedOn w:val="79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4">
    <w:name w:val="No Spacing"/>
    <w:uiPriority w:val="1"/>
    <w:qFormat/>
    <w:rPr>
      <w:sz w:val="24"/>
      <w:szCs w:val="24"/>
    </w:rPr>
  </w:style>
  <w:style w:type="character" w:styleId="965" w:customStyle="1">
    <w:name w:val="Основной текст (2)_"/>
    <w:link w:val="966"/>
    <w:rPr>
      <w:b/>
      <w:bCs/>
      <w:sz w:val="27"/>
      <w:szCs w:val="27"/>
      <w:shd w:val="clear" w:color="auto" w:fill="ffffff"/>
    </w:rPr>
  </w:style>
  <w:style w:type="paragraph" w:styleId="966" w:customStyle="1">
    <w:name w:val="Основной текст (2)"/>
    <w:basedOn w:val="779"/>
    <w:link w:val="965"/>
    <w:pPr>
      <w:ind w:firstLine="720"/>
      <w:jc w:val="both"/>
      <w:spacing w:before="300" w:line="331" w:lineRule="exact"/>
      <w:shd w:val="clear" w:color="auto" w:fill="ffffff"/>
    </w:pPr>
    <w:rPr>
      <w:b/>
      <w:bCs/>
      <w:sz w:val="27"/>
      <w:szCs w:val="27"/>
    </w:rPr>
  </w:style>
  <w:style w:type="character" w:styleId="967" w:customStyle="1">
    <w:name w:val="Заголовок №1_"/>
    <w:link w:val="968"/>
    <w:rPr>
      <w:b/>
      <w:bCs/>
      <w:sz w:val="27"/>
      <w:szCs w:val="27"/>
      <w:shd w:val="clear" w:color="auto" w:fill="ffffff"/>
    </w:rPr>
  </w:style>
  <w:style w:type="paragraph" w:styleId="968" w:customStyle="1">
    <w:name w:val="Заголовок №1"/>
    <w:basedOn w:val="779"/>
    <w:link w:val="967"/>
    <w:pPr>
      <w:ind w:firstLine="720"/>
      <w:jc w:val="both"/>
      <w:spacing w:before="180" w:line="317" w:lineRule="exact"/>
      <w:shd w:val="clear" w:color="auto" w:fill="ffffff"/>
      <w:outlineLvl w:val="0"/>
    </w:pPr>
    <w:rPr>
      <w:b/>
      <w:bCs/>
      <w:sz w:val="27"/>
      <w:szCs w:val="27"/>
    </w:rPr>
  </w:style>
  <w:style w:type="paragraph" w:styleId="969" w:customStyle="1">
    <w:name w:val="Default"/>
    <w:rPr>
      <w:color w:val="000000"/>
      <w:sz w:val="24"/>
      <w:szCs w:val="24"/>
    </w:rPr>
  </w:style>
  <w:style w:type="paragraph" w:styleId="970">
    <w:name w:val="Header"/>
    <w:basedOn w:val="779"/>
    <w:link w:val="97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71" w:customStyle="1">
    <w:name w:val="Верхний колонтитул Знак"/>
    <w:basedOn w:val="789"/>
    <w:link w:val="970"/>
    <w:uiPriority w:val="99"/>
    <w:rPr>
      <w:sz w:val="24"/>
      <w:szCs w:val="24"/>
    </w:rPr>
  </w:style>
  <w:style w:type="paragraph" w:styleId="972">
    <w:name w:val="Footer"/>
    <w:basedOn w:val="779"/>
    <w:link w:val="97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73" w:customStyle="1">
    <w:name w:val="Нижний колонтитул Знак"/>
    <w:basedOn w:val="789"/>
    <w:link w:val="972"/>
    <w:uiPriority w:val="99"/>
    <w:rPr>
      <w:sz w:val="24"/>
      <w:szCs w:val="24"/>
    </w:rPr>
  </w:style>
  <w:style w:type="paragraph" w:styleId="974" w:customStyle="1">
    <w:name w:val="ConsPlusNormal"/>
    <w:pPr>
      <w:widowControl w:val="off"/>
    </w:pPr>
    <w:rPr>
      <w:rFonts w:eastAsiaTheme="minorEastAsia"/>
      <w:sz w:val="24"/>
      <w:szCs w:val="24"/>
    </w:rPr>
  </w:style>
  <w:style w:type="character" w:styleId="975" w:customStyle="1">
    <w:name w:val="title_razdel"/>
  </w:style>
  <w:style w:type="character" w:styleId="976" w:customStyle="1">
    <w:name w:val="Гиперссылка1"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image" Target="media/image1.jpg"/><Relationship Id="rId14" Type="http://schemas.openxmlformats.org/officeDocument/2006/relationships/image" Target="media/image2.png"/><Relationship Id="rId15" Type="http://schemas.openxmlformats.org/officeDocument/2006/relationships/hyperlink" Target="https://admhmao.ru/documents/pravovye-akty/postanovleniya-gubernatora/11900310/" TargetMode="External"/><Relationship Id="rId16" Type="http://schemas.openxmlformats.org/officeDocument/2006/relationships/hyperlink" Target="https://rst.admhmao.ru/dokumenty/" TargetMode="External"/><Relationship Id="rId17" Type="http://schemas.openxmlformats.org/officeDocument/2006/relationships/hyperlink" Target="https://www.yugra-ecology.ru/calculator" TargetMode="External"/><Relationship Id="rId18" Type="http://schemas.openxmlformats.org/officeDocument/2006/relationships/hyperlink" Target="https://yugra-ecology.ru/documents?id=3fd99214304d98c3610fcc86598d3e530f2b8d3b0c04f2de7b16a531c3e1d179" TargetMode="External"/><Relationship Id="rId19" Type="http://schemas.openxmlformats.org/officeDocument/2006/relationships/hyperlink" Target="https://rec.admtyumen.ru/" TargetMode="External"/><Relationship Id="rId20" Type="http://schemas.openxmlformats.org/officeDocument/2006/relationships/hyperlink" Target="https://jsn.admhmao.ru/)." TargetMode="External"/><Relationship Id="rId21" Type="http://schemas.openxmlformats.org/officeDocument/2006/relationships/hyperlink" Target="https://depjkke.admhmao.ru/contacts/" TargetMode="External"/><Relationship Id="rId22" Type="http://schemas.openxmlformats.org/officeDocument/2006/relationships/hyperlink" Target="https://depprom.admhmao.ru/contacts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DB500-2788-4424-891A-C2BEFC366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PozdeevAN</dc:creator>
  <cp:lastModifiedBy>medvedevatv</cp:lastModifiedBy>
  <cp:revision>11</cp:revision>
  <dcterms:created xsi:type="dcterms:W3CDTF">2025-10-17T07:05:00Z</dcterms:created>
  <dcterms:modified xsi:type="dcterms:W3CDTF">2026-03-10T04:48:21Z</dcterms:modified>
</cp:coreProperties>
</file>