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spacing w:after="0" w:line="240" w:lineRule="auto"/>
        <w:rPr>
          <w:rFonts w:ascii="Times New Roman" w:hAnsi="Times New Roman" w:cs="Times New Roman"/>
          <w:b/>
          <w:bCs/>
          <w:sz w:val="24"/>
          <w:szCs w:val="24"/>
        </w:rPr>
      </w:pPr>
      <w:r>
        <w:rPr>
          <w:rFonts w:ascii="Times New Roman" w:hAnsi="Times New Roman" w:cs="Times New Roman"/>
          <w:b/>
          <w:bCs/>
          <w:sz w:val="24"/>
          <w:szCs w:val="24"/>
        </w:rPr>
        <w:t>ДОГОВОР №</w:t>
      </w:r>
      <w:r>
        <w:rPr>
          <w:rFonts w:ascii="Times New Roman" w:hAnsi="Times New Roman" w:cs="Times New Roman"/>
          <w:b/>
          <w:bCs/>
          <w:sz w:val="24"/>
          <w:szCs w:val="24"/>
          <w:rtl w:val="off"/>
        </w:rPr>
        <w:t xml:space="preserve"> _______</w:t>
      </w:r>
    </w:p>
    <w:p>
      <w:pPr>
        <w:jc w:val="center"/>
        <w:spacing w:after="0" w:line="240" w:lineRule="auto"/>
        <w:rPr>
          <w:rFonts w:ascii="Times New Roman" w:hAnsi="Times New Roman" w:cs="Times New Roman"/>
          <w:b/>
          <w:bCs/>
          <w:sz w:val="24"/>
          <w:szCs w:val="24"/>
        </w:rPr>
      </w:pPr>
      <w:r>
        <w:rPr>
          <w:rFonts w:ascii="Times New Roman" w:hAnsi="Times New Roman" w:cs="Times New Roman"/>
          <w:b/>
          <w:bCs/>
          <w:sz w:val="24"/>
          <w:szCs w:val="24"/>
        </w:rPr>
        <w:t>на теплоснабжение</w:t>
      </w:r>
    </w:p>
    <w:p>
      <w:pPr>
        <w:jc w:val="center"/>
        <w:spacing w:after="0" w:line="240" w:lineRule="auto"/>
        <w:rPr>
          <w:rFonts w:ascii="Times New Roman" w:hAnsi="Times New Roman" w:cs="Times New Roman"/>
          <w:sz w:val="24"/>
          <w:szCs w:val="24"/>
        </w:rPr>
      </w:pPr>
    </w:p>
    <w:p>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с. Перегребное                                                                                    </w:t>
      </w:r>
      <w:r>
        <w:rPr>
          <w:rFonts w:ascii="Times New Roman" w:hAnsi="Times New Roman" w:cs="Times New Roman"/>
          <w:sz w:val="24"/>
          <w:szCs w:val="24"/>
          <w:rtl w:val="off"/>
        </w:rPr>
        <w:t xml:space="preserve"> </w:t>
      </w:r>
      <w:r>
        <w:rPr>
          <w:rFonts w:ascii="Times New Roman" w:hAnsi="Times New Roman" w:cs="Times New Roman"/>
          <w:sz w:val="24"/>
          <w:szCs w:val="24"/>
        </w:rPr>
        <w:t>«</w:t>
      </w:r>
      <w:r>
        <w:rPr>
          <w:rFonts w:ascii="Times New Roman" w:hAnsi="Times New Roman" w:cs="Times New Roman"/>
          <w:sz w:val="24"/>
          <w:szCs w:val="24"/>
          <w:rtl w:val="off"/>
        </w:rPr>
        <w:t>__</w:t>
      </w:r>
      <w:r>
        <w:rPr>
          <w:rFonts w:ascii="Times New Roman" w:hAnsi="Times New Roman" w:cs="Times New Roman"/>
          <w:sz w:val="24"/>
          <w:szCs w:val="24"/>
        </w:rPr>
        <w:t xml:space="preserve">» </w:t>
      </w:r>
      <w:r>
        <w:rPr>
          <w:rFonts w:ascii="Times New Roman" w:hAnsi="Times New Roman" w:cs="Times New Roman"/>
          <w:sz w:val="24"/>
          <w:szCs w:val="24"/>
          <w:rtl w:val="off"/>
        </w:rPr>
        <w:t>_____________</w:t>
      </w:r>
      <w:r>
        <w:rPr>
          <w:rFonts w:ascii="Times New Roman" w:hAnsi="Times New Roman" w:cs="Times New Roman"/>
          <w:sz w:val="24"/>
          <w:szCs w:val="24"/>
        </w:rPr>
        <w:t>20</w:t>
      </w:r>
      <w:r>
        <w:rPr>
          <w:rFonts w:ascii="Times New Roman" w:hAnsi="Times New Roman" w:cs="Times New Roman"/>
          <w:sz w:val="24"/>
          <w:szCs w:val="24"/>
          <w:rtl w:val="off"/>
        </w:rPr>
        <w:t xml:space="preserve">__ </w:t>
      </w:r>
      <w:r>
        <w:rPr>
          <w:rFonts w:ascii="Times New Roman" w:hAnsi="Times New Roman" w:cs="Times New Roman"/>
          <w:sz w:val="24"/>
          <w:szCs w:val="24"/>
        </w:rPr>
        <w:t>г.</w:t>
      </w:r>
    </w:p>
    <w:p>
      <w:pPr>
        <w:jc w:val="both"/>
        <w:spacing w:after="0" w:line="240" w:lineRule="auto"/>
        <w:rPr>
          <w:rFonts w:ascii="Times New Roman" w:hAnsi="Times New Roman" w:cs="Times New Roman"/>
          <w:sz w:val="24"/>
          <w:szCs w:val="24"/>
        </w:rPr>
      </w:pP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b/>
          <w:bCs/>
          <w:sz w:val="24"/>
          <w:szCs w:val="24"/>
        </w:rPr>
        <w:t>Общество с ограниченной ответственностью «ПриобьСтройГарант»</w:t>
      </w:r>
      <w:r>
        <w:rPr>
          <w:rFonts w:ascii="Times New Roman" w:hAnsi="Times New Roman" w:cs="Times New Roman"/>
          <w:sz w:val="24"/>
          <w:szCs w:val="24"/>
        </w:rPr>
        <w:t xml:space="preserve">, именуемое в дальнейшем «Энергоснабжающая организация», в лице генерального директора Петрова Романа Николаевича, действующего на основании Устава, с одной стороны, и </w:t>
      </w:r>
    </w:p>
    <w:p>
      <w:pPr>
        <w:ind w:firstLine="567"/>
        <w:jc w:val="both"/>
        <w:tabs>
          <w:tab w:val="left" w:pos="1134"/>
        </w:tabs>
        <w:spacing w:after="0" w:line="240" w:lineRule="auto"/>
        <w:rPr>
          <w:rFonts w:ascii="Times New Roman" w:hAnsi="Times New Roman" w:cs="Times New Roman"/>
          <w:sz w:val="24"/>
          <w:szCs w:val="24"/>
        </w:rPr>
      </w:pPr>
      <w:r>
        <w:rPr>
          <w:rFonts w:ascii="Times New Roman" w:hAnsi="Times New Roman" w:cs="Times New Roman"/>
          <w:b/>
          <w:bCs/>
          <w:sz w:val="24"/>
          <w:szCs w:val="24"/>
          <w:rtl w:val="off"/>
        </w:rPr>
        <w:t>_______________________________</w:t>
      </w:r>
      <w:r>
        <w:rPr>
          <w:rFonts w:ascii="Times New Roman" w:hAnsi="Times New Roman" w:cs="Times New Roman"/>
          <w:b/>
          <w:bCs/>
          <w:sz w:val="24"/>
          <w:szCs w:val="24"/>
        </w:rPr>
        <w:t xml:space="preserve">, </w:t>
      </w:r>
      <w:r>
        <w:rPr>
          <w:rFonts w:ascii="Times New Roman" w:hAnsi="Times New Roman" w:cs="Times New Roman"/>
          <w:sz w:val="24"/>
          <w:szCs w:val="24"/>
        </w:rPr>
        <w:t xml:space="preserve">именуемое в дальнейшем «Абонент», в лице </w:t>
      </w:r>
      <w:r>
        <w:rPr>
          <w:rFonts w:ascii="Times New Roman" w:hAnsi="Times New Roman" w:cs="Times New Roman"/>
          <w:sz w:val="24"/>
          <w:szCs w:val="24"/>
          <w:rtl w:val="off"/>
        </w:rPr>
        <w:t>_____________________________</w:t>
      </w:r>
      <w:r>
        <w:rPr>
          <w:rFonts w:ascii="Times New Roman" w:hAnsi="Times New Roman" w:cs="Times New Roman"/>
          <w:sz w:val="24"/>
          <w:szCs w:val="24"/>
        </w:rPr>
        <w:t>, действующего на основании  Устава, с другой Стороны, вместе именуемые «Стороны», согласно п</w:t>
      </w:r>
      <w:r>
        <w:rPr>
          <w:rFonts w:ascii="Times New Roman" w:hAnsi="Times New Roman" w:cs="Times New Roman"/>
          <w:sz w:val="24"/>
          <w:szCs w:val="24"/>
          <w:rtl w:val="off"/>
        </w:rPr>
        <w:t>ункта</w:t>
      </w:r>
      <w:r>
        <w:rPr>
          <w:rFonts w:ascii="Times New Roman" w:hAnsi="Times New Roman" w:cs="Times New Roman"/>
          <w:sz w:val="24"/>
          <w:szCs w:val="24"/>
        </w:rPr>
        <w:t xml:space="preserve"> </w:t>
      </w:r>
      <w:r>
        <w:rPr>
          <w:rFonts w:ascii="Times New Roman" w:hAnsi="Times New Roman" w:cs="Times New Roman"/>
          <w:sz w:val="24"/>
          <w:szCs w:val="24"/>
          <w:rtl w:val="off"/>
        </w:rPr>
        <w:t>__ части ___</w:t>
      </w:r>
      <w:r>
        <w:rPr>
          <w:rFonts w:ascii="Times New Roman" w:hAnsi="Times New Roman" w:cs="Times New Roman"/>
          <w:sz w:val="24"/>
          <w:szCs w:val="24"/>
        </w:rPr>
        <w:t xml:space="preserve"> ст</w:t>
      </w:r>
      <w:r>
        <w:rPr>
          <w:rFonts w:ascii="Times New Roman" w:hAnsi="Times New Roman" w:cs="Times New Roman"/>
          <w:sz w:val="24"/>
          <w:szCs w:val="24"/>
          <w:rtl w:val="off"/>
        </w:rPr>
        <w:t xml:space="preserve">атьи </w:t>
      </w:r>
      <w:r>
        <w:rPr>
          <w:rFonts w:ascii="Times New Roman" w:hAnsi="Times New Roman" w:cs="Times New Roman"/>
          <w:sz w:val="24"/>
          <w:szCs w:val="24"/>
        </w:rPr>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 идентификационный код закупки в плане-графике </w:t>
      </w:r>
      <w:r>
        <w:rPr>
          <w:rFonts w:ascii="Times New Roman" w:hAnsi="Times New Roman" w:cs="Times New Roman"/>
          <w:b w:val="0"/>
          <w:bCs w:val="0"/>
          <w:sz w:val="24"/>
          <w:szCs w:val="24"/>
          <w:rtl w:val="off"/>
        </w:rPr>
        <w:t>___________________________________</w:t>
      </w:r>
      <w:r>
        <w:rPr>
          <w:rFonts w:ascii="Times New Roman" w:eastAsia="Times New Roman" w:hAnsi="Times New Roman" w:cs="Times New Roman"/>
          <w:sz w:val="24"/>
          <w:szCs w:val="24"/>
        </w:rPr>
        <w:t>,</w:t>
      </w:r>
      <w:r>
        <w:rPr>
          <w:rFonts w:ascii="Times New Roman" w:hAnsi="Times New Roman" w:cs="Times New Roman"/>
          <w:sz w:val="24"/>
          <w:szCs w:val="24"/>
        </w:rPr>
        <w:t xml:space="preserve"> заключили настоящий Договор  о нижеследующем:</w:t>
      </w:r>
    </w:p>
    <w:p>
      <w:pPr>
        <w:ind w:firstLine="567"/>
        <w:jc w:val="both"/>
        <w:tabs>
          <w:tab w:val="left" w:pos="1134"/>
        </w:tabs>
        <w:spacing w:after="0" w:line="240" w:lineRule="auto"/>
        <w:rPr>
          <w:rFonts w:ascii="Times New Roman" w:hAnsi="Times New Roman" w:cs="Times New Roman"/>
          <w:sz w:val="24"/>
          <w:szCs w:val="24"/>
        </w:rPr>
      </w:pPr>
    </w:p>
    <w:p>
      <w:pPr>
        <w:ind w:firstLine="340"/>
        <w:jc w:val="center"/>
        <w:spacing w:after="0" w:line="240" w:lineRule="auto"/>
        <w:rPr>
          <w:rFonts w:ascii="Times New Roman" w:hAnsi="Times New Roman" w:cs="Times New Roman"/>
          <w:b/>
          <w:bCs/>
          <w:sz w:val="24"/>
          <w:szCs w:val="24"/>
        </w:rPr>
      </w:pPr>
      <w:r>
        <w:rPr>
          <w:rFonts w:ascii="Times New Roman" w:hAnsi="Times New Roman" w:cs="Times New Roman"/>
          <w:b/>
          <w:bCs/>
          <w:sz w:val="24"/>
          <w:szCs w:val="24"/>
        </w:rPr>
        <w:t>1. ПРЕДМЕТ ДОГОВОРА</w:t>
      </w:r>
    </w:p>
    <w:p>
      <w:pPr>
        <w:jc w:val="both"/>
        <w:tabs>
          <w:tab w:val="left" w:pos="1134"/>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1.1. Энергоснабжающая организация обязуется отпускать Абоненту на объекты, расположенные по адресу: </w:t>
      </w:r>
      <w:r>
        <w:rPr>
          <w:rFonts w:ascii="Times New Roman" w:hAnsi="Times New Roman" w:cs="Times New Roman"/>
          <w:sz w:val="24"/>
          <w:szCs w:val="24"/>
          <w:rtl w:val="off"/>
        </w:rPr>
        <w:t>___________________________</w:t>
      </w:r>
      <w:r>
        <w:rPr>
          <w:rFonts w:ascii="Times New Roman" w:hAnsi="Times New Roman" w:cs="Times New Roman"/>
          <w:sz w:val="24"/>
          <w:szCs w:val="24"/>
        </w:rPr>
        <w:t xml:space="preserve"> через присоединенную сеть тепловую энергию в горячей воде и теплоноситель, а Абонент обязуется принимать и оплачивать тепловую энергию и невозвращенный в тепловую сеть теплоноситель, соблюдать режим еѐ потребления в объѐме, сроки и на условиях, предусмотренных настоящим Договором, а также обеспечивать безопасность эксплуатации находящихся в его ведении сетей и исправность используемых им приборов и оборудования. </w:t>
      </w:r>
    </w:p>
    <w:p>
      <w:pPr>
        <w:jc w:val="both"/>
        <w:tabs>
          <w:tab w:val="left" w:pos="1134"/>
        </w:tabs>
        <w:spacing w:after="0" w:line="240" w:lineRule="auto"/>
        <w:rPr>
          <w:rFonts w:ascii="Times New Roman" w:eastAsia="Times New Roman" w:hAnsi="Times New Roman"/>
          <w:sz w:val="24"/>
          <w:szCs w:val="24"/>
        </w:rPr>
      </w:pPr>
      <w:r>
        <w:rPr>
          <w:rFonts w:ascii="Times New Roman" w:hAnsi="Times New Roman" w:cs="Times New Roman"/>
          <w:sz w:val="24"/>
          <w:szCs w:val="24"/>
        </w:rPr>
        <w:t xml:space="preserve">         1.2. </w:t>
      </w:r>
      <w:r>
        <w:rPr>
          <w:rFonts w:ascii="Times New Roman" w:eastAsia="Times New Roman" w:hAnsi="Times New Roman"/>
          <w:sz w:val="24"/>
          <w:szCs w:val="24"/>
        </w:rPr>
        <w:t xml:space="preserve">Количество (величины) тепловой энергии с учетом прогнозируемой среднемесячной температуры наружного воздуха, подаваемое (продаваемое) Энергоснабжающей организацией Абоненту для отопления с учетом потерь в сетях, устанавливается на основании расчетов тепловых нагрузок с разбивкой по месяцам (Приложение №1). </w:t>
      </w:r>
    </w:p>
    <w:p>
      <w:pPr>
        <w:jc w:val="both"/>
        <w:tabs>
          <w:tab w:val="left" w:pos="1134"/>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1.3. Границы раздела балансовой принадлежности и эксплуатационной ответственности тепловых сетей Сторон устанавливаются согласно Акта разграничения Эксплуатационной (балансовой) принадлежности (Приложение №</w:t>
      </w:r>
      <w:r>
        <w:rPr>
          <w:rFonts w:ascii="Times New Roman" w:hAnsi="Times New Roman" w:cs="Times New Roman"/>
          <w:sz w:val="24"/>
          <w:szCs w:val="24"/>
          <w:rtl w:val="off"/>
        </w:rPr>
        <w:t>4</w:t>
      </w:r>
      <w:r>
        <w:rPr>
          <w:rFonts w:ascii="Times New Roman" w:hAnsi="Times New Roman" w:cs="Times New Roman"/>
          <w:sz w:val="24"/>
          <w:szCs w:val="24"/>
        </w:rPr>
        <w:t>).</w:t>
      </w:r>
    </w:p>
    <w:p>
      <w:pPr>
        <w:ind w:firstLine="708"/>
        <w:jc w:val="both"/>
        <w:spacing w:after="0"/>
        <w:rPr>
          <w:rFonts w:ascii="Times New Roman" w:hAnsi="Times New Roman" w:cs="Times New Roman"/>
          <w:sz w:val="24"/>
          <w:szCs w:val="24"/>
        </w:rPr>
      </w:pPr>
      <w:r>
        <w:rPr>
          <w:rFonts w:ascii="Times New Roman" w:hAnsi="Times New Roman" w:cs="Times New Roman"/>
          <w:sz w:val="24"/>
          <w:szCs w:val="24"/>
        </w:rPr>
        <w:t>1.4. Код Общероссийского классификатора видов экономической деятельности</w:t>
      </w:r>
    </w:p>
    <w:p>
      <w:pPr>
        <w:jc w:val="both"/>
        <w:spacing w:after="0"/>
        <w:rPr>
          <w:rFonts w:ascii="Times New Roman" w:hAnsi="Times New Roman" w:cs="Times New Roman"/>
          <w:sz w:val="24"/>
          <w:szCs w:val="24"/>
        </w:rPr>
      </w:pPr>
      <w:r>
        <w:rPr>
          <w:rFonts w:ascii="Times New Roman" w:hAnsi="Times New Roman" w:cs="Times New Roman"/>
          <w:sz w:val="24"/>
          <w:szCs w:val="24"/>
        </w:rPr>
        <w:t xml:space="preserve"> (ОК 029-2014):</w:t>
      </w:r>
      <w:r>
        <w:rPr>
          <w:rFonts w:ascii="Times New Roman" w:hAnsi="Times New Roman" w:cs="Times New Roman"/>
          <w:b/>
          <w:i/>
          <w:color w:val="FF0000"/>
          <w:sz w:val="24"/>
          <w:szCs w:val="24"/>
        </w:rPr>
        <w:t xml:space="preserve"> </w:t>
      </w:r>
      <w:r>
        <w:rPr>
          <w:rFonts w:ascii="Times New Roman" w:hAnsi="Times New Roman" w:cs="Times New Roman"/>
          <w:i/>
          <w:sz w:val="24"/>
          <w:szCs w:val="24"/>
          <w:rtl w:val="off"/>
        </w:rPr>
        <w:t>ОКДП</w:t>
      </w:r>
      <w:r>
        <w:rPr>
          <w:rFonts w:ascii="Times New Roman" w:hAnsi="Times New Roman" w:cs="Times New Roman"/>
          <w:i/>
          <w:sz w:val="24"/>
          <w:szCs w:val="24"/>
        </w:rPr>
        <w:t xml:space="preserve"> </w:t>
      </w:r>
      <w:r>
        <w:rPr>
          <w:rFonts w:ascii="Times New Roman" w:hAnsi="Times New Roman" w:cs="Times New Roman"/>
          <w:i/>
          <w:color w:val="000000"/>
          <w:sz w:val="24"/>
          <w:szCs w:val="24"/>
        </w:rPr>
        <w:t>35.20.11.120 – Энергия тепловая, отпущенная котельными..</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1.4 Местом исполнения обязательств по настоящему Договору является здание, расположенное по следующему адресу:</w:t>
      </w:r>
      <w:r>
        <w:rPr>
          <w:lang w:eastAsia="ru-RU"/>
          <w:rFonts w:ascii="Times New Roman" w:eastAsia="Times New Roman" w:hAnsi="Times New Roman" w:cs="Times New Roman"/>
          <w:sz w:val="24"/>
          <w:szCs w:val="24"/>
          <w:spacing w:val="2"/>
          <w:rtl w:val="off"/>
        </w:rPr>
        <w:t>____________________</w:t>
      </w:r>
      <w:r>
        <w:rPr>
          <w:lang w:eastAsia="ru-RU"/>
          <w:rFonts w:ascii="Times New Roman" w:eastAsia="Times New Roman" w:hAnsi="Times New Roman" w:cs="Times New Roman"/>
          <w:sz w:val="24"/>
          <w:szCs w:val="24"/>
          <w:spacing w:val="2"/>
        </w:rPr>
        <w:t>.</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p>
    <w:p>
      <w:pPr>
        <w:jc w:val="center"/>
        <w:tabs>
          <w:tab w:val="left" w:pos="1134"/>
        </w:tabs>
        <w:spacing w:after="0" w:line="240" w:lineRule="auto"/>
        <w:rPr>
          <w:rFonts w:ascii="Times New Roman" w:hAnsi="Times New Roman" w:cs="Times New Roman"/>
          <w:b/>
          <w:sz w:val="24"/>
          <w:szCs w:val="24"/>
        </w:rPr>
      </w:pPr>
      <w:r>
        <w:rPr>
          <w:rFonts w:ascii="Times New Roman" w:hAnsi="Times New Roman" w:cs="Times New Roman"/>
          <w:b/>
          <w:sz w:val="24"/>
          <w:szCs w:val="24"/>
        </w:rPr>
        <w:t>2. ПРАВА И ОБЯЗАННОСТИ ЭНЕРГОСНАБЖАЮЩЕЙ ОРГАНИЗАЦИИ</w:t>
      </w:r>
    </w:p>
    <w:p>
      <w:pPr>
        <w:ind w:firstLineChars="227" w:firstLine="545"/>
        <w:jc w:val="both"/>
        <w:spacing w:after="0" w:line="240" w:lineRule="atLeast"/>
        <w:rPr>
          <w:rFonts w:ascii="Times New Roman" w:hAnsi="Times New Roman" w:cs="Times New Roman"/>
          <w:sz w:val="24"/>
          <w:szCs w:val="24"/>
        </w:rPr>
      </w:pPr>
      <w:r>
        <w:rPr>
          <w:rFonts w:ascii="Times New Roman" w:hAnsi="Times New Roman" w:cs="Times New Roman"/>
          <w:sz w:val="24"/>
          <w:szCs w:val="24"/>
        </w:rPr>
        <w:t>2.1. Энергоснабжающая организация обязуется отпускать тепловую энергию в горячей воде и теплоноситель Абоненту в отношении объектов Абонента.</w:t>
      </w:r>
    </w:p>
    <w:p>
      <w:pPr>
        <w:ind w:firstLine="567"/>
        <w:jc w:val="both"/>
        <w:tabs>
          <w:tab w:val="left" w:pos="1134"/>
        </w:tabs>
        <w:spacing w:after="0" w:line="240" w:lineRule="auto"/>
        <w:rPr>
          <w:rFonts w:ascii="Times New Roman" w:hAnsi="Times New Roman" w:cs="Times New Roman"/>
          <w:sz w:val="24"/>
          <w:szCs w:val="24"/>
        </w:rPr>
      </w:pPr>
      <w:r>
        <w:rPr>
          <w:rFonts w:ascii="Times New Roman" w:hAnsi="Times New Roman" w:cs="Times New Roman"/>
          <w:sz w:val="24"/>
          <w:szCs w:val="24"/>
        </w:rPr>
        <w:t>2.2. Энергоснабжающая организация имеет право производить расчет за отпущенную теплоэнергию по температурному перепаду, предусмотренному температурным графиком, при превышении Абонентом среднесуточной температуры обратной сетевой воды более чем на 5 % против температурного графика.</w:t>
      </w:r>
    </w:p>
    <w:p>
      <w:pPr>
        <w:ind w:firstLine="567"/>
        <w:jc w:val="both"/>
        <w:tabs>
          <w:tab w:val="left" w:pos="1134"/>
        </w:tabs>
        <w:spacing w:after="0" w:line="240" w:lineRule="auto"/>
        <w:rPr>
          <w:rFonts w:ascii="Times New Roman" w:hAnsi="Times New Roman" w:cs="Times New Roman"/>
          <w:sz w:val="24"/>
          <w:szCs w:val="24"/>
        </w:rPr>
      </w:pPr>
      <w:r>
        <w:rPr>
          <w:rFonts w:ascii="Times New Roman" w:hAnsi="Times New Roman" w:cs="Times New Roman"/>
          <w:sz w:val="24"/>
          <w:szCs w:val="24"/>
        </w:rPr>
        <w:t>2.3. Энергоснабжающая организация имеет право ограничивать или прекращать подачу тепловой энергии и теплоносителя в порядке и в случаях, установленных в разделе 4 настоящего Договора, при этом реализация данного правомочия не может рассматриваться как нарушение со стороны Энергоснабжающей организации принятых на себя обязательств в соответствии с настоящим Договором.</w:t>
      </w:r>
    </w:p>
    <w:p>
      <w:pPr>
        <w:ind w:firstLine="567"/>
        <w:jc w:val="both"/>
        <w:tabs>
          <w:tab w:val="left" w:pos="1134"/>
        </w:tabs>
        <w:spacing w:after="0" w:line="240" w:lineRule="auto"/>
        <w:rPr>
          <w:rFonts w:ascii="Times New Roman" w:hAnsi="Times New Roman" w:cs="Times New Roman"/>
          <w:sz w:val="24"/>
          <w:szCs w:val="24"/>
        </w:rPr>
      </w:pPr>
      <w:r>
        <w:rPr>
          <w:rFonts w:ascii="Times New Roman" w:hAnsi="Times New Roman" w:cs="Times New Roman"/>
          <w:sz w:val="24"/>
          <w:szCs w:val="24"/>
        </w:rPr>
        <w:t>2.4. Энергоснабжающая организация имеет право осуществлять контроль за соблюдением Абонентом установленных настоящим Договором режимов теплопотребления, за состоянием узлов учѐта тепловой энергии и теплоносителя, за техническим состоянием и исправностью всех теплопотребляющих установок и сетей теплоснабжения, находящихся на балансе Абонента без права вмешательства в его хозяйственную деятельность.</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2.5. Энергоснабжающая организация имеет право не производить подачу теплоносителя при отсутствии паспорта готовности сетей теплоснабжения и систем теплопотребления Абонента к работе в предстоящий отопительный период.</w:t>
      </w:r>
    </w:p>
    <w:p>
      <w:pPr>
        <w:ind w:firstLine="567"/>
        <w:jc w:val="both"/>
        <w:spacing w:after="0" w:line="240" w:lineRule="auto"/>
        <w:rPr>
          <w:rFonts w:ascii="Times New Roman" w:hAnsi="Times New Roman" w:cs="Times New Roman"/>
          <w:sz w:val="24"/>
          <w:szCs w:val="24"/>
        </w:rPr>
      </w:pPr>
    </w:p>
    <w:p>
      <w:pPr>
        <w:jc w:val="center"/>
        <w:spacing w:after="0" w:line="240" w:lineRule="auto"/>
        <w:rPr>
          <w:rFonts w:ascii="Times New Roman" w:hAnsi="Times New Roman" w:cs="Times New Roman"/>
          <w:b/>
          <w:sz w:val="24"/>
          <w:szCs w:val="24"/>
        </w:rPr>
      </w:pPr>
      <w:r>
        <w:rPr>
          <w:rFonts w:ascii="Times New Roman" w:hAnsi="Times New Roman" w:cs="Times New Roman"/>
          <w:b/>
          <w:sz w:val="24"/>
          <w:szCs w:val="24"/>
        </w:rPr>
        <w:t>3. ПРАВА И ОБЯЗАННОСТИ АБОНЕНТА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3.1. Абонент обязан:</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3.1.1. Оплачивать фактически принятое количество тепловой энергии и невозвращенный теплоноситель в соответствии с разделом 6 настоящего Договора.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3.1.2. Возвращать теплоноситель в полном объеме с соответствующим качеством и температурой (за исключением случая, когда Абонент имеет открытую схему присоединения систем теплопотребления по горячему водоснабжению), не допускать утечек и водоразбора. Не допускать утечки воды больше нормативного значения (0,25% от объема заполнения теплосети), не допускать несанкционированного залпового забора воды, а также завышения температуры воды в обратном трубопроводе по сравнению с температурным графиком.</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3.1.3. Не допускать превышения среднесуточной температуры сетевой воды в обратном трубопроводе более чем на 5 % против температурного графика.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3.1.4. Представлять Энергоснабжающей организации заявку на годовое потребление тепловой энергии на следующий год по видам теплопотребления ежегодно не позднее 01 марта, уточнѐнные объѐмы потребления по данным Абонента принимаются Энергоснабжающей организацией в срок не позднее 01 сентября при наличии и документальном объяснении объективных причин изменения. В случае несвоевременного представления (непредставления) Абонентом сведений о контрактных величинах потребления Энергоснабжающая организация вправе определить их самостоятельно на основании фактически сложившихся объѐмов потребления за предшествующие периоды.</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3.1.5. Не менее, чем за 30 рабочих дней до наступления соответствующей даты письменно уведомить Энергоснабжающую организацию об утрате прав (права собственности, аренды, прав, вытекающих из Договора на коммунальное или техническое обслуживание, прав, вытекающих из Контракта на управление многоквартирным домом и т.п.) на объект, теплоснабжение которого осуществляется в рамках настоящего Договора. При этом Абонент обязан сообщить наименование, адрес и контактный телефон нового правообладателя.</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3.1.6. Ежеквартально до 20 числа месяца, следующего за расчѐтным кварталом совместно с Энергоснабжающей организацией оформить акт сверки взаимных расчетов.</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3.1.7. Вести коммерческий учет расхода тепловой энергии, горячей воды (приборы учета приобретаются Абонентом и находятся на его балансе и обслуживании). Обеспечивать за свой счет поверку средств измерений и замену при их повреждении, находящихся на балансе Абонента.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3.1.8. Незамедлительно (в суточный срок с момента обнаружения неисправности в зоне балансовой и эксплуатационной ответственности Абонента) сообщать в Энергоснабжающую организацию обо всех нарушениях схем и неисправностях в работе приборов коммерческого учета, заменить неисправный прибор учета в течение 15 дней с момента обнаружения неисправности.</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3.1.9. В межотопительный период подготовить теплопотребляющие энергоустановки к началу отопительного сезона: произвести все регламентные работы, промывку систем теплопотребления, проверки их на прочность, плотность, равномерность прогрева в соответствии с требованиями Правил технической эксплуатации тепловых энергоустановок.</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3.1.10. Обеспечивать уполномоченным представителям Энергоснабжающей организации беспрепятственный доступ к узлам учета, ко всем теплопотребляющим устройствам, сооружениям и оборудованию, расположенным на территории Абонента для:</w:t>
      </w:r>
    </w:p>
    <w:p>
      <w:pPr>
        <w:pStyle w:val="af3"/>
        <w:ind w:left="0" w:firstLine="567"/>
        <w:jc w:val="bot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проведения мероприятий по ограничению или полному прекращению подачи теплоносителя;</w:t>
      </w:r>
    </w:p>
    <w:p>
      <w:pPr>
        <w:pStyle w:val="af3"/>
        <w:ind w:left="0" w:firstLine="567"/>
        <w:jc w:val="bot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осуществления контроля за соблюдением установленных режимов теплопотребления;</w:t>
      </w:r>
    </w:p>
    <w:p>
      <w:pPr>
        <w:pStyle w:val="af3"/>
        <w:ind w:left="0" w:firstLine="567"/>
        <w:jc w:val="bot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проведения замеров по определению качества теплоносителя;</w:t>
      </w:r>
    </w:p>
    <w:p>
      <w:pPr>
        <w:pStyle w:val="af3"/>
        <w:ind w:left="0" w:firstLine="567"/>
        <w:jc w:val="bot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проверки технического состояния теплопотребляющих установок и сетей теплоснабжения, приборов учета;</w:t>
      </w:r>
    </w:p>
    <w:p>
      <w:pPr>
        <w:pStyle w:val="af3"/>
        <w:ind w:left="0" w:firstLine="567"/>
        <w:jc w:val="bot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снятия показаний приборов учета;</w:t>
      </w:r>
    </w:p>
    <w:p>
      <w:pPr>
        <w:pStyle w:val="af3"/>
        <w:ind w:left="0" w:firstLine="567"/>
        <w:jc w:val="bot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осмотра и проведения эксплуатационных работ на транзитных тепловых сетях, принадлежащих Энергоснабжающей организации и проходящих по территории Абонента.</w:t>
      </w:r>
    </w:p>
    <w:p>
      <w:pPr>
        <w:ind w:firstLine="567"/>
        <w:jc w:val="both"/>
        <w:tabs>
          <w:tab w:val="left" w:pos="1418"/>
        </w:tabs>
        <w:spacing w:after="0" w:line="240" w:lineRule="auto"/>
        <w:rPr>
          <w:rFonts w:ascii="Times New Roman" w:hAnsi="Times New Roman" w:cs="Times New Roman"/>
          <w:sz w:val="24"/>
          <w:szCs w:val="24"/>
        </w:rPr>
      </w:pPr>
      <w:r>
        <w:rPr>
          <w:rFonts w:ascii="Times New Roman" w:hAnsi="Times New Roman" w:cs="Times New Roman"/>
          <w:sz w:val="24"/>
          <w:szCs w:val="24"/>
        </w:rPr>
        <w:t>3.1.11. По требованию Энергоснабжающей организации предоставлять необходимую документацию для уточнения и проверки правильности расчетов потребности объектов Абонента в тепловой энергии. Обо всех изменениях в исходных данных для расчетов (изменении режима работы систем отопления и горячего водоснабжения, технологии, количества используемой тепловой энергии и др.) Абонент должен письменно сообщить в Энергоснабжающую организацию для внесения соответствующих изменений в расчеты.</w:t>
      </w:r>
    </w:p>
    <w:p>
      <w:pPr>
        <w:ind w:firstLine="567"/>
        <w:jc w:val="both"/>
        <w:tabs>
          <w:tab w:val="left" w:pos="1418"/>
        </w:tabs>
        <w:spacing w:after="0" w:line="240" w:lineRule="auto"/>
        <w:rPr>
          <w:rFonts w:ascii="Times New Roman" w:hAnsi="Times New Roman" w:cs="Times New Roman"/>
          <w:sz w:val="24"/>
          <w:szCs w:val="24"/>
        </w:rPr>
      </w:pPr>
      <w:r>
        <w:rPr>
          <w:rFonts w:ascii="Times New Roman" w:hAnsi="Times New Roman" w:cs="Times New Roman"/>
          <w:sz w:val="24"/>
          <w:szCs w:val="24"/>
        </w:rPr>
        <w:t>В случае не предоставления Абонентом вышеуказанных сведений и при отсутствии у Абонента узлов коммерческого учѐта Энергоснабжающая организация имеет право осуществить перерасчет с момента последней проверки, но не более одного года.</w:t>
      </w:r>
    </w:p>
    <w:p>
      <w:pPr>
        <w:ind w:firstLine="567"/>
        <w:jc w:val="both"/>
        <w:tabs>
          <w:tab w:val="left" w:pos="1418"/>
        </w:tabs>
        <w:spacing w:after="0" w:line="240" w:lineRule="auto"/>
        <w:rPr>
          <w:rFonts w:ascii="Times New Roman" w:hAnsi="Times New Roman" w:cs="Times New Roman"/>
          <w:sz w:val="24"/>
          <w:szCs w:val="24"/>
        </w:rPr>
      </w:pPr>
      <w:r>
        <w:rPr>
          <w:rFonts w:ascii="Times New Roman" w:hAnsi="Times New Roman" w:cs="Times New Roman"/>
          <w:sz w:val="24"/>
          <w:szCs w:val="24"/>
        </w:rPr>
        <w:t>3.1.12. Нести иные обязанности, предусмотренные настоящим Договором и действующим законодательством.</w:t>
      </w:r>
    </w:p>
    <w:p>
      <w:pPr>
        <w:ind w:firstLine="567"/>
        <w:jc w:val="both"/>
        <w:tabs>
          <w:tab w:val="left" w:pos="1418"/>
        </w:tabs>
        <w:spacing w:after="0" w:line="240" w:lineRule="auto"/>
        <w:rPr>
          <w:rFonts w:ascii="Times New Roman" w:hAnsi="Times New Roman" w:cs="Times New Roman"/>
          <w:sz w:val="24"/>
          <w:szCs w:val="24"/>
        </w:rPr>
      </w:pPr>
      <w:r>
        <w:rPr>
          <w:rFonts w:ascii="Times New Roman" w:hAnsi="Times New Roman" w:cs="Times New Roman"/>
          <w:sz w:val="24"/>
          <w:szCs w:val="24"/>
        </w:rPr>
        <w:t>3.2. Абонент имеет право подключать к своим тепловым сетям субабонентов, а также новые, реконструированные тепловые сети и теплоустановки только с письменного разрешения Энергоснабжающей организации.</w:t>
      </w:r>
    </w:p>
    <w:p>
      <w:pPr>
        <w:ind w:firstLine="567"/>
        <w:jc w:val="both"/>
        <w:tabs>
          <w:tab w:val="left" w:pos="1418"/>
        </w:tabs>
        <w:spacing w:after="0" w:line="240" w:lineRule="auto"/>
        <w:rPr>
          <w:rFonts w:ascii="Times New Roman" w:hAnsi="Times New Roman" w:cs="Times New Roman"/>
          <w:sz w:val="24"/>
          <w:szCs w:val="24"/>
        </w:rPr>
      </w:pPr>
      <w:r>
        <w:rPr>
          <w:rFonts w:ascii="Times New Roman" w:hAnsi="Times New Roman" w:cs="Times New Roman"/>
          <w:sz w:val="24"/>
          <w:szCs w:val="24"/>
        </w:rPr>
        <w:t>3.3. Абонент несет ответственность за техническое состояние и эксплуатацию находящихся в его ведении систем теплопотребления, экономное расходование тепловой энергии, сокращение расхода теплоносителя и соблюдение оперативно-диспетчерской дисциплины.</w:t>
      </w:r>
    </w:p>
    <w:p>
      <w:pPr>
        <w:ind w:firstLine="567"/>
        <w:jc w:val="both"/>
        <w:tabs>
          <w:tab w:val="left" w:pos="1418"/>
        </w:tabs>
        <w:spacing w:after="0" w:line="240" w:lineRule="auto"/>
        <w:rPr>
          <w:rFonts w:ascii="Times New Roman" w:hAnsi="Times New Roman" w:cs="Times New Roman"/>
          <w:sz w:val="24"/>
          <w:szCs w:val="24"/>
        </w:rPr>
      </w:pPr>
    </w:p>
    <w:p>
      <w:pPr>
        <w:jc w:val="center"/>
        <w:spacing w:after="0" w:line="240" w:lineRule="auto"/>
        <w:rPr>
          <w:rFonts w:ascii="Times New Roman" w:hAnsi="Times New Roman" w:cs="Times New Roman"/>
          <w:b/>
          <w:sz w:val="24"/>
          <w:szCs w:val="24"/>
        </w:rPr>
      </w:pPr>
      <w:r>
        <w:rPr>
          <w:rFonts w:ascii="Times New Roman" w:hAnsi="Times New Roman" w:cs="Times New Roman"/>
          <w:b/>
          <w:sz w:val="24"/>
          <w:szCs w:val="24"/>
        </w:rPr>
        <w:t>4. ПОРЯДОК ВВЕДЕНИЯ ОГРАНИЧЕНИЯ ИЛИ ПРЕКРАЩЕНИЯ ТЕПЛОСНАБЖЕНИЯ</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4.1. Энергоснабжающая организация имеет право ограничивать или прекращать подачу тепловой энергии и теплоносителя после предупреждения Абонента в следующих случаях:</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4.1.1. Неоплаты за тепловую энергию в горячей воде и теплоносителя в установленные настоящим Контрактом сроки и порядке.</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4.1.2. Присоединения систем теплопотребления до приборов учета тепловой энергии.</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4.1.3. Самовольного подключения к теплосети субабонентов, а также теплоустановок или отдельных их частей.</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4.1.4. Снижения показателей качества тепловой энергии или теплоносителя по вине Абонента до значений, Абонент обязан немедленно поставить в известность об этом Энергоснабжающую организацию и согласовать с ней на дальнейший порядок действий.</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Ремонт и замена приборов учета производится за счет Абонента.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4.2. Установка (перестановка), замена и снятие приборов учета производится только в присутствии представителя Энергоснабжающей организации.</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4.3. Учет отпущенной тепловой энергии и теплоносителя и контроль за соблюдением договорных объемов осуществляется по приборам учета Абонента (при их наличии) или расчетным методом по фактическому теплоотпуску на основании показаний приборов учета источника теплоты пропорционально расчетным договорным нагрузкам с учетом средней фактической температуры наружного воздуха за отчетный период (при отсутствии приборов учета, их неисправности, обнаружении поврежденных или отсутствующих пломб, а также при превышении нормативной погрешности работающих приборов учета). </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При отсутствии приборов учета тепловой энергии, при отклонении среднемесячной температуры от норм, указанных в СН и П 23-01-99 Энергоснабжающая организация производит перерасчет теплопотребления с учетом фактической температуры наружного воздуха.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При установке расчетных приборов учета теплоэнергии не на границе раздела балансовой принадлежности (эксплуатационной ответственности) тепловых сетей, потери тепловой энергии и теплоносителя на участке «граница раздела – узел учета» оплачиваются Абонентом дополнительно. Объем потерь определяется расчетным методом от границы раздела до места установки прибора учета.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4.4. Абонент, имеющий приборы коммерческого учета тепловой энергии и теплоносителя, не позднее 20 числа расчетного месяца представляет в Энергоснабжающую организацию в письменном виде Акт снятия показаний приборов учета. Ведомости учета параметров теплопотребления (среднесуточные статистические данные) и по дополнительному запросу Энергоснабжающей организации - данные о среднечасовых параметрах.</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В случае непредоставления показаний приборов учета (отчета) в установленный срок, а также при отсутствии у Абонента приборов учѐта, количество тепловой энергии, масса (объем) теплоносителя, и значения его параметров определяются Энергоснабжающей организацией расчетным методом в соответствии с п. 4.3. настоящего Договора.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4.5. На основании сведений (п. 4.4. настоящего Договора) Энергоснабжающая организация в срок не позднее 30 числа расчетного месяца направляет Абоненту Акт приема-передачи тепловой энергии и теплоносителя за расчетный месяц. Абонент обязуется подписать и передать Энергоснабжающей организации подписанный со своей стороны Акт в срок не позднее 3 рабочих дней с даты его получения. В случае неполучения Энергоснабжающей организацией подписанного Абонентом Акта в указанный срок, тепловая энергия и теплоноситель считаются переданными Энергоснабжающей организацией и принятыми Абонентом в полном объеме.</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4.6. Ответственным лицом за исправную и безопасную эксплуатацию теплопотребляющих установок и тепловых сетей со стороны:</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Энергоснабжающей организации назначается: </w:t>
      </w:r>
      <w:r>
        <w:rPr>
          <w:rFonts w:ascii="Times New Roman" w:hAnsi="Times New Roman" w:cs="Times New Roman"/>
          <w:sz w:val="24"/>
          <w:szCs w:val="24"/>
          <w:rtl w:val="off"/>
        </w:rPr>
        <w:t>__________________________________</w:t>
      </w:r>
      <w:r>
        <w:rPr>
          <w:rFonts w:ascii="Times New Roman" w:hAnsi="Times New Roman" w:cs="Times New Roman"/>
          <w:sz w:val="24"/>
          <w:szCs w:val="24"/>
        </w:rPr>
        <w:t>;</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Абонента назначается: ФИО, номер телефона, адрес. </w:t>
      </w:r>
    </w:p>
    <w:p>
      <w:pPr>
        <w:ind w:firstLine="567"/>
        <w:jc w:val="both"/>
        <w:spacing w:after="0" w:line="240" w:lineRule="auto"/>
        <w:rPr>
          <w:rFonts w:ascii="Times New Roman" w:hAnsi="Times New Roman" w:cs="Times New Roman"/>
          <w:sz w:val="24"/>
          <w:szCs w:val="24"/>
        </w:rPr>
      </w:pPr>
    </w:p>
    <w:p>
      <w:pPr>
        <w:jc w:val="center"/>
        <w:spacing w:after="0" w:line="240" w:lineRule="auto"/>
        <w:rPr>
          <w:rFonts w:ascii="Times New Roman" w:hAnsi="Times New Roman" w:cs="Times New Roman"/>
          <w:b/>
          <w:sz w:val="24"/>
          <w:szCs w:val="24"/>
        </w:rPr>
      </w:pPr>
      <w:r>
        <w:rPr>
          <w:rFonts w:ascii="Times New Roman" w:hAnsi="Times New Roman" w:cs="Times New Roman"/>
          <w:b/>
          <w:sz w:val="24"/>
          <w:szCs w:val="24"/>
        </w:rPr>
        <w:t>5. ОПЕРАТИВНО-ДИСПЕТЧЕРСКОЕ УПРАВЛЕНИЕ. ОТОПИТЕЛЬНЫЙ СЕЗОН</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5.1. Абонент обязан выполнять оперативные указания уполномоченных представителей Энергоснабжающей организации в отношении режима теплопотребления, соблюдать заданный диспетчером (начальником смены) режим, график ограничений и отключений теплопотребления.</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Вся запорная арматура, отключающая абонентские теплопроводы от коллекторов котельной или тепловых сетей, находится в оперативном ведении начальника смены котельной или диспетчера тепловых сетей и должна быть закрыта или открыта (полностью или частично) по их требованию оперативным персоналом Абонента. При невыполнении Абонентом распоряжения Энергоснабжающей организации о введении ограничения или отключения теплопотребления Энергоснабжающая организация имеет право после предупреждения принудительно ограничить или прекратить отпуск теплоэнергии закрытием запорной арматуры на источниках тепла, предприятиях тепловых сетей, ответвлениях теплопровода к Абоненту или на тепловом пункте Абонента.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5.2. Абонент обязан согласовать с Энергоснабжающей организацией порядок отключения теплопотребляющего оборудования от сетей Энергоснабжающей организации при выводе оборудования в ремонт, а также при окончании отопительного сезона.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5.3. Подача тепловой энергии на нужды отопления производится в отопительный сезон.</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Дата начала и окончания отопительного сезона определяется решением уполномоченного органа.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Подача тепловой энергии на нужды отопления производится с началом отопительного периода. Отопительный период начинается, если в течение пяти суток средняя суточная температура наружного воздуха составляет +8 град. С и ниже, и заканчивается, если в течение пяти суток средняя суточная температура наружного воздуха составляет +8 град. С и выше. Включение и отключение систем теплопотребления осуществляются по графику, согласованному с энергоснабжающей организацией.</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5.4. Начало подачи тепловой энергии на нужды отопления в связи с началом отопительного сезона определяется:</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технической готовностью теплооборудования, теплоустановок и тепловых сетей Абонента к началу отопительного сезона;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отсутствием у Абонента задолженности перед Энергоснабжающей организацией по настоящему Договору.</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При отсутствии какого-либо из вышеуказанных оснований Энергоснабжающая организация вправе отказаться от возобновления подачи тепловой энергии Абоненту. </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5.5. Техническая готовность теплооборудования, теплоустановок и тепловых сетей Абонента к началу отопительного сезона состоит в выполнении Абонентом всего комплекса технических мероприятий по проверке и обеспечению надежной и безопасной эксплуатации теплосистем, а также соответствие их технического состояния установленным правилам и требованиям.</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Основными техническими мероприятиями являются:</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гидравлические испытания на прочность и плотность, проводимые не позднее, чем через две недели после окончания отопительного сезона, а также перед началом отопительного сезона после окончания ремонта;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По результатам испытания составляется соответствующий акт. Выявленные при испытаниях дефекты должны быть устранены, после чего проведены повторные испытания;</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промывка теплосистем, проводимая после окончания отопительного сезона, а также после монтажа или ремонта труб с проведением в случае необходимости их дезинфекции, а также их опрессовка;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шурфовка тепловых сетей для определения коррозионного износа металла труб;</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ревизия арматуры и оборудования, а также составляющих их элементов, устранение выявленных засорений, </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восстановление разрушенной или замена недостаточной тепловой изоляции, проверка приборов учета тепловой энергии.</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5.6. До начала отопительного сезона Абонент представляет Энергоснабжающей организации справку о проведенных в межотопительный сезон мероприятиях с приложением соответствующих документов (акты и т.п.). До 1 сентября предъявить Энергоснабжающей организации акт готовности установленной формы. Подключение к сетям теплоснабжения без акта готовности и разрешения Энергоснабжающей организации расценивается как самовольное.</w:t>
      </w:r>
    </w:p>
    <w:p>
      <w:pPr>
        <w:ind w:firstLine="567"/>
        <w:jc w:val="both"/>
        <w:spacing w:after="0" w:line="240" w:lineRule="auto"/>
        <w:rPr>
          <w:rFonts w:ascii="Times New Roman" w:hAnsi="Times New Roman" w:cs="Times New Roman"/>
          <w:sz w:val="24"/>
          <w:szCs w:val="24"/>
        </w:rPr>
      </w:pPr>
    </w:p>
    <w:p>
      <w:pPr>
        <w:jc w:val="center"/>
        <w:spacing w:after="0" w:line="240" w:lineRule="auto"/>
        <w:rPr>
          <w:rFonts w:ascii="Times New Roman" w:hAnsi="Times New Roman" w:cs="Times New Roman"/>
          <w:b/>
          <w:sz w:val="24"/>
          <w:szCs w:val="24"/>
        </w:rPr>
      </w:pPr>
      <w:r>
        <w:rPr>
          <w:rFonts w:ascii="Times New Roman" w:hAnsi="Times New Roman" w:cs="Times New Roman"/>
          <w:b/>
          <w:sz w:val="24"/>
          <w:szCs w:val="24"/>
        </w:rPr>
        <w:t>6. ПОРЯДОК РАСЧЕТОВ</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6.1. Абонент оплачивает Энергоснабжающей организации:</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стоимость тепловой энергии, исходя из тарифа, установленного уполномоченным органом в области государственного регулирования тарифов (Приложение № </w:t>
      </w:r>
      <w:r>
        <w:rPr>
          <w:rFonts w:ascii="Times New Roman" w:hAnsi="Times New Roman" w:cs="Times New Roman"/>
          <w:sz w:val="24"/>
          <w:szCs w:val="24"/>
          <w:rtl w:val="off"/>
        </w:rPr>
        <w:t>1, 3</w:t>
      </w:r>
      <w:r>
        <w:rPr>
          <w:rFonts w:ascii="Times New Roman" w:hAnsi="Times New Roman" w:cs="Times New Roman"/>
          <w:sz w:val="24"/>
          <w:szCs w:val="24"/>
        </w:rPr>
        <w:t>).</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Изменение уполномоченным органом тарифа, применяемого при расчете, в период действия Договора не требует внесения изменений в Договор, а измененный тариф вводится в действие со дня его установления.</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6.2. Ориентировочная сумма настоящего Договора составляет </w:t>
      </w:r>
      <w:r>
        <w:rPr>
          <w:rFonts w:ascii="Times New Roman" w:eastAsia="Times New Roman" w:hAnsi="Times New Roman"/>
          <w:sz w:val="24"/>
          <w:szCs w:val="24"/>
          <w:rtl w:val="off"/>
        </w:rPr>
        <w:t>______________</w:t>
      </w:r>
      <w:r>
        <w:rPr>
          <w:rFonts w:ascii="Times New Roman" w:hAnsi="Times New Roman" w:cs="Times New Roman"/>
          <w:sz w:val="24"/>
          <w:szCs w:val="24"/>
        </w:rPr>
        <w:t>, с учетом НДС.</w:t>
      </w:r>
    </w:p>
    <w:p>
      <w:pPr>
        <w:ind w:firstLine="567"/>
        <w:jc w:val="both"/>
        <w:spacing w:after="0"/>
        <w:rPr>
          <w:rFonts w:ascii="Times New Roman" w:hAnsi="Times New Roman" w:cs="Times New Roman"/>
          <w:sz w:val="24"/>
          <w:szCs w:val="24"/>
        </w:rPr>
      </w:pPr>
      <w:r>
        <w:rPr>
          <w:rFonts w:ascii="Times New Roman" w:hAnsi="Times New Roman" w:cs="Times New Roman"/>
          <w:sz w:val="24"/>
          <w:szCs w:val="24"/>
        </w:rPr>
        <w:t xml:space="preserve">6.3 </w:t>
      </w:r>
      <w:r>
        <w:rPr>
          <w:lang w:eastAsia="ru-RU"/>
          <w:spacing w:val="2"/>
        </w:rPr>
        <w:t xml:space="preserve">. </w:t>
      </w:r>
      <w:r>
        <w:rPr>
          <w:rFonts w:ascii="Times New Roman" w:hAnsi="Times New Roman" w:cs="Times New Roman"/>
          <w:sz w:val="24"/>
          <w:szCs w:val="24"/>
        </w:rPr>
        <w:t>Цена Договора не может изменяться в ходе заключения и исполнения Договора, за исключением случаев установленных Договором и (или) предусмотренных законодательством Российской Федерации.</w:t>
      </w:r>
    </w:p>
    <w:p>
      <w:pPr>
        <w:ind w:firstLine="567"/>
        <w:jc w:val="both"/>
        <w:spacing w:after="0"/>
        <w:rPr>
          <w:lang w:eastAsia="ru-RU"/>
          <w:rFonts w:ascii="Times New Roman" w:hAnsi="Times New Roman" w:cs="Times New Roman"/>
          <w:sz w:val="24"/>
          <w:szCs w:val="24"/>
          <w:spacing w:val="2"/>
        </w:rPr>
      </w:pPr>
      <w:r>
        <w:rPr>
          <w:rFonts w:ascii="Times New Roman" w:hAnsi="Times New Roman" w:cs="Times New Roman"/>
          <w:sz w:val="24"/>
          <w:szCs w:val="24"/>
        </w:rPr>
        <w:t xml:space="preserve"> Покупатель, по согласованию с Поставщиком, в ходе исполнения Договора в праве изменить не более, чем на десять процентов, предусмотренный Договором объем отпущенной тепловой энергии при изменении потребности в сторону уменьшения или увеличения. </w:t>
      </w:r>
      <w:r>
        <w:rPr>
          <w:rStyle w:val="blk"/>
          <w:rFonts w:ascii="Times New Roman" w:hAnsi="Times New Roman" w:cs="Times New Roman"/>
          <w:sz w:val="24"/>
          <w:szCs w:val="24"/>
        </w:rP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тепловой энергии исходя из установленного в Договоре объема, но  не более чем на десять процентов цены Договора. При уменьшении, предусмотренном, Договором количества тепловой энергии стороны Договора обязаны уменьшить цену Договора.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6.4. Расчеты по настоящему Договору производятся платѐжными поручениями на расчетный счет Энергоснабжающей организации. Датой оплаты считается дата поступления денежных средств на расчетный счет Энергоснабжающей организации.</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6.5. Расчетным периодом за теплоснабжение является календарный месяц.</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6.6. Оплата ресурсов по теплоснабжению производится Абонентом в следующем порядке: 30 процентов плановой общей стоимости тепловой энергии, потребляемой в месяце, за который осуществляется плата, вносится до 10 числа текущего месяца; оплата за фактически потребленную в истекшем месяце тепловую энергию с учетом средств, ранее внесенных абонентом в качестве оплаты за тепловую энергию в расчетном периоде, осуществляется до 15 числа месяца, следующего за расчетным, на основании Акта приема-передачи тепловой энергии и теплоносителя.</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В случае, если объем фактического потребления тепловой энергии за истекший месяц меньше договорного объема, определенного договором, излишне уплаченная сумма засчитывается в счет предстоящего платежа за следующий месяц.</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Счета-фактуры выставляются Энергоснабжающей организацией в адрес Абонента в соответствии нормами действующего законодательства.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Оплата ресурсов по теплоснабжению за декабрь месяц производится Абонентом в следующем порядке: 20 декабря выставляется счет на предоплату по фактическим данным счетчиков, переданных Абонентом до 20 декабря. Счета-фактуры за декабрь месяц выставляются Энергоснабжающей организацией в адрес Абонента 31 декабря.</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6.7. Если дата расчетов приходится на выходной или праздничный день, то расчетным - является последний рабочий день, предшествующий выходному или праздничному дню. </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6.8. Погашение Абонентом образовавшейся задолженности за принятую тепловую энергию и теплоноситель осуществляется в порядке календарной очередности образования задолженности. </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6.9. В случае, если при проведении расчетов по настоящему Договору Абонентом не указывается за какой период производится оплата, то Энергоснабжающая организация зачисляет эту сумму в счет ранее возникшей задолженности Абонента.</w:t>
      </w:r>
    </w:p>
    <w:p>
      <w:pPr>
        <w:ind w:firstLine="567"/>
        <w:jc w:val="both"/>
        <w:spacing w:after="0" w:line="240" w:lineRule="auto"/>
        <w:rPr>
          <w:rFonts w:ascii="Times New Roman" w:hAnsi="Times New Roman" w:cs="Times New Roman"/>
          <w:sz w:val="24"/>
          <w:szCs w:val="24"/>
        </w:rPr>
      </w:pPr>
    </w:p>
    <w:p>
      <w:pPr>
        <w:jc w:val="center"/>
        <w:spacing w:after="0" w:line="240" w:lineRule="auto"/>
        <w:rPr>
          <w:rFonts w:ascii="Times New Roman" w:hAnsi="Times New Roman" w:cs="Times New Roman"/>
          <w:b/>
          <w:sz w:val="24"/>
          <w:szCs w:val="24"/>
        </w:rPr>
      </w:pPr>
      <w:r>
        <w:rPr>
          <w:rFonts w:ascii="Times New Roman" w:hAnsi="Times New Roman" w:cs="Times New Roman"/>
          <w:b/>
          <w:sz w:val="24"/>
          <w:szCs w:val="24"/>
        </w:rPr>
        <w:t>7. ОТВЕТСТВЕННОСТЬ СТОРОН</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7.1. За нарушение обязательств по настоящему Договору стороны несут ответственность в соответствии с действующим законодательством и настоящим Договором.</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7.2. Энергоснабжающая организация не несет ответственности перед Абонентом за снижение параметров теплоносителя и недоотпуск тепловой энергии, вызванных:</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7.2.1. Стихийными явлениями: гроза, буря, наводнение, землетрясение, пожар, длительное похолодание, при котором температура наружного воздуха держится более 48 час. ниже на 3°С и более расчетной температуры.</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7.2.2. Неправомерными действиями персонала Абонента или посторонних лиц (повреждение трубопроводов, повреждение абонентского ввода).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7.2.3. Ограничениями или отключениями в соответствии со статьей 4 настоящего Договора.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7.2.4. Несоблюдением Абонентом договорного режима теплопотребления.</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7.3. В случае неисполнения (ненадлежащего исполнения) Абонентом обязательств по настоящему Договору Энергоснабжающая организация вправе потребовать, а Абонент уплатить неустойку в размере 1/</w:t>
      </w:r>
      <w:r>
        <w:rPr>
          <w:rFonts w:ascii="Times New Roman" w:hAnsi="Times New Roman" w:cs="Times New Roman"/>
          <w:sz w:val="24"/>
          <w:szCs w:val="24"/>
          <w:rtl w:val="off"/>
        </w:rPr>
        <w:t>130</w:t>
      </w:r>
      <w:r>
        <w:rPr>
          <w:rFonts w:ascii="Times New Roman" w:hAnsi="Times New Roman" w:cs="Times New Roman"/>
          <w:sz w:val="24"/>
          <w:szCs w:val="24"/>
        </w:rPr>
        <w:t xml:space="preserve"> </w:t>
      </w:r>
      <w:r>
        <w:rPr>
          <w:rFonts w:ascii="Times New Roman" w:hAnsi="Times New Roman" w:cs="Times New Roman"/>
          <w:sz w:val="24"/>
          <w:szCs w:val="24"/>
          <w:rtl w:val="off"/>
        </w:rPr>
        <w:t xml:space="preserve">ключевой </w:t>
      </w:r>
      <w:r>
        <w:rPr>
          <w:rFonts w:ascii="Times New Roman" w:hAnsi="Times New Roman" w:cs="Times New Roman"/>
          <w:sz w:val="24"/>
          <w:szCs w:val="24"/>
        </w:rPr>
        <w:t>ставки ЦБ РФ за каждый день неисполненного обязательства.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7.4. За самовольное подключение систем теплопотребления Абонент оплачивает Энергоснабжающей организации Абонент пятикратную стоимость объема тепловой энергии и теплоносителя по установленным Энергоснабжающей организации тарифам, действующим в соответствующем периоде. Оплата взимается за период с момента последней проверки Абонента, а для систем, используемых для целей отопления – с начала отопительного сезона до момента обнаружения факта самовольного подключения. </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7.5. В случае не предоставления Абонентом Энергоснабжающей организации сведений, указанных в п. 3.1.5. настоящего Договора, Абонент возмещает Энергоснабжающей организации все расходы последней в размере стоимости тепловой энергии до момента, когда Энергоснабжающая организация узнала (было уведомлено) о вновь возникших обстоятельствах.</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7.6. Начисление и уплата неустоек за неисполнение или ненадлежащее исполнение условий настоящего Договора и возмещение убытков производится на основании и в соответствии с письменной обоснованной претензией, признанной виновной Стороной. В случае если претензия виновной Стороной не признается, то неустойка взыскивается, а убытки возмещаются на основании решения суда, вступившего в законную силу. </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7.7. 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возникших после заключения настоящего Договора. При этом срок исполнения Сторонами обязательств по настоящему Договору соразмерно отодвигается на время действия таких обстоятельств.</w:t>
      </w:r>
    </w:p>
    <w:p>
      <w:pPr>
        <w:ind w:firstLine="567"/>
        <w:jc w:val="both"/>
        <w:spacing w:after="0" w:line="240" w:lineRule="auto"/>
        <w:rPr>
          <w:rFonts w:ascii="Times New Roman" w:hAnsi="Times New Roman" w:cs="Times New Roman"/>
          <w:sz w:val="24"/>
          <w:szCs w:val="24"/>
        </w:rPr>
      </w:pPr>
    </w:p>
    <w:p>
      <w:pPr>
        <w:jc w:val="center"/>
        <w:spacing w:after="0" w:line="240" w:lineRule="auto"/>
        <w:rPr>
          <w:rFonts w:ascii="Times New Roman" w:hAnsi="Times New Roman" w:cs="Times New Roman"/>
          <w:b/>
          <w:sz w:val="24"/>
          <w:szCs w:val="24"/>
        </w:rPr>
      </w:pPr>
      <w:r>
        <w:rPr>
          <w:rFonts w:ascii="Times New Roman" w:hAnsi="Times New Roman" w:cs="Times New Roman"/>
          <w:b/>
          <w:sz w:val="24"/>
          <w:szCs w:val="24"/>
        </w:rPr>
        <w:t>8. РАЗРЕШЕНИЕ СПОРОВ</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8.1. В случае возникновения споров и разногласий между Сторонами, таковые решаются путем переговоров.</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8.2. Все споры и разногласия, не разрешаемые путем переговоров, подлежат рассмотрению в судебном порядке в соответствии с действующим законодательством РФ.</w:t>
      </w:r>
    </w:p>
    <w:p>
      <w:pPr>
        <w:ind w:firstLine="567"/>
        <w:jc w:val="both"/>
        <w:spacing w:after="0" w:line="240" w:lineRule="auto"/>
        <w:rPr>
          <w:rFonts w:ascii="Times New Roman" w:hAnsi="Times New Roman" w:cs="Times New Roman"/>
          <w:sz w:val="24"/>
          <w:szCs w:val="24"/>
        </w:rPr>
      </w:pPr>
    </w:p>
    <w:p>
      <w:pPr>
        <w:jc w:val="center"/>
        <w:spacing w:after="0" w:line="240" w:lineRule="auto"/>
        <w:rPr>
          <w:rFonts w:ascii="Times New Roman" w:hAnsi="Times New Roman" w:cs="Times New Roman"/>
          <w:b/>
          <w:sz w:val="24"/>
          <w:szCs w:val="24"/>
        </w:rPr>
      </w:pPr>
      <w:r>
        <w:rPr>
          <w:rFonts w:ascii="Times New Roman" w:hAnsi="Times New Roman" w:cs="Times New Roman"/>
          <w:b/>
          <w:sz w:val="24"/>
          <w:szCs w:val="24"/>
        </w:rPr>
        <w:t>9. СРОК ДЕЙСТВИЯ ДОГОВОРА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9.1. Настоящий Договор вступает в силу с даты его подписания уполномоченными представителями Сторон и распространяет свое действие на правоотношения возникшие с </w:t>
      </w:r>
      <w:r>
        <w:rPr>
          <w:rFonts w:ascii="Times New Roman" w:hAnsi="Times New Roman" w:cs="Times New Roman"/>
          <w:sz w:val="24"/>
          <w:szCs w:val="24"/>
          <w:rtl w:val="off"/>
        </w:rPr>
        <w:t>_______________</w:t>
      </w:r>
      <w:r>
        <w:rPr>
          <w:rFonts w:ascii="Times New Roman" w:hAnsi="Times New Roman" w:cs="Times New Roman"/>
          <w:sz w:val="24"/>
          <w:szCs w:val="24"/>
        </w:rPr>
        <w:t xml:space="preserve"> года по </w:t>
      </w:r>
      <w:r>
        <w:rPr>
          <w:rFonts w:ascii="Times New Roman" w:hAnsi="Times New Roman" w:cs="Times New Roman"/>
          <w:sz w:val="24"/>
          <w:szCs w:val="24"/>
          <w:rtl w:val="off"/>
        </w:rPr>
        <w:t>_______________</w:t>
      </w:r>
      <w:r>
        <w:rPr>
          <w:rFonts w:ascii="Times New Roman" w:hAnsi="Times New Roman" w:cs="Times New Roman"/>
          <w:sz w:val="24"/>
          <w:szCs w:val="24"/>
        </w:rPr>
        <w:t xml:space="preserve"> года. </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Действие настоящего Договора прекращается досрочно в случае утраты Абонентом прав на объект, в отношении которого в рамках настоящего Договора осуществляется теплоснабжение. При прекращении прав на обслуживаемый объект датой окончания срока действия настоящего Договора является последняя дата законного владения (пользования, распоряжения) Абонентом объектом.</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9.2. Взаимоотношения Сторон, не урегулированные или не полностью урегулированные настоящим Договором, регулируются в соответствии с действующим законодательством РФ.</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9.3. Любые изменения и дополнения к настоящему Договору оформляются дополнительным соглашением за подписью уполномоченных представителей Сторон.</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9.4. Настоящий Договор составлен в двух экземплярах, имеющих равную юридическую силу, по одному для каждой из Сторон.</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9.5. Приложения к настоящему Договору:</w:t>
      </w:r>
    </w:p>
    <w:p>
      <w:pPr>
        <w:pStyle w:val="af3"/>
        <w:ind w:left="0" w:firstLine="567"/>
        <w:jc w:val="bot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"Величины теплопотребления</w:t>
      </w:r>
      <w:r>
        <w:rPr>
          <w:rFonts w:ascii="Times New Roman" w:hAnsi="Times New Roman" w:cs="Times New Roman"/>
          <w:sz w:val="24"/>
          <w:szCs w:val="24"/>
          <w:rtl w:val="off"/>
        </w:rPr>
        <w:t xml:space="preserve"> по приборам учета</w:t>
      </w:r>
      <w:r>
        <w:rPr>
          <w:rFonts w:ascii="Times New Roman" w:hAnsi="Times New Roman" w:cs="Times New Roman"/>
          <w:sz w:val="24"/>
          <w:szCs w:val="24"/>
        </w:rPr>
        <w:t>" (Приложение № 1);</w:t>
      </w:r>
    </w:p>
    <w:p>
      <w:pPr>
        <w:pStyle w:val="af3"/>
        <w:ind w:left="0" w:firstLine="567"/>
        <w:widowControl w:val="off"/>
        <w:jc w:val="both"/>
        <w:numPr>
          <w:ilvl w:val="0"/>
          <w:numId w:val="3"/>
        </w:numPr>
        <w:spacing w:after="0" w:line="240" w:lineRule="auto"/>
        <w:rPr>
          <w:rFonts w:ascii="Times New Roman" w:hAnsi="Times New Roman" w:cs="Times New Roman"/>
          <w:sz w:val="24"/>
          <w:szCs w:val="24"/>
          <w:rtl w:val="off"/>
        </w:rPr>
      </w:pPr>
      <w:r>
        <w:rPr>
          <w:rFonts w:ascii="Times New Roman" w:hAnsi="Times New Roman" w:cs="Times New Roman"/>
          <w:sz w:val="24"/>
          <w:szCs w:val="24"/>
        </w:rPr>
        <w:t xml:space="preserve"> </w:t>
      </w:r>
      <w:r>
        <w:rPr>
          <w:rFonts w:ascii="Times New Roman" w:hAnsi="Times New Roman" w:cs="Times New Roman"/>
          <w:sz w:val="24"/>
          <w:szCs w:val="24"/>
          <w:rtl w:val="off"/>
        </w:rPr>
        <w:t xml:space="preserve"> </w:t>
      </w:r>
      <w:r>
        <w:rPr>
          <w:rFonts w:ascii="Times New Roman" w:hAnsi="Times New Roman" w:cs="Times New Roman"/>
          <w:sz w:val="24"/>
          <w:szCs w:val="24"/>
        </w:rPr>
        <w:t xml:space="preserve">Копия Приказа РСТ ХМАО-Югры </w:t>
      </w:r>
      <w:r>
        <w:rPr>
          <w:rFonts w:ascii="Times New Roman" w:hAnsi="Times New Roman" w:cs="Times New Roman"/>
          <w:sz w:val="24"/>
          <w:szCs w:val="24"/>
          <w:rtl w:val="off"/>
        </w:rPr>
        <w:t>_______________</w:t>
      </w:r>
      <w:r>
        <w:rPr>
          <w:rFonts w:ascii="Times New Roman" w:hAnsi="Times New Roman" w:cs="Times New Roman"/>
          <w:sz w:val="24"/>
          <w:szCs w:val="24"/>
        </w:rPr>
        <w:t xml:space="preserve">  (Приложение № </w:t>
      </w:r>
      <w:r>
        <w:rPr>
          <w:rFonts w:ascii="Times New Roman" w:hAnsi="Times New Roman" w:cs="Times New Roman"/>
          <w:sz w:val="24"/>
          <w:szCs w:val="24"/>
          <w:rtl w:val="off"/>
        </w:rPr>
        <w:t>2</w:t>
      </w:r>
      <w:r>
        <w:rPr>
          <w:rFonts w:ascii="Times New Roman" w:hAnsi="Times New Roman" w:cs="Times New Roman"/>
          <w:sz w:val="24"/>
          <w:szCs w:val="24"/>
        </w:rPr>
        <w:t>);</w:t>
      </w:r>
    </w:p>
    <w:p>
      <w:pPr>
        <w:rPr>
          <w:rFonts w:ascii="Times New Roman" w:hAnsi="Times New Roman" w:cs="Times New Roman"/>
          <w:sz w:val="24"/>
          <w:szCs w:val="24"/>
          <w:highlight w:val="yellow"/>
        </w:rPr>
      </w:pPr>
    </w:p>
    <w:p>
      <w:pPr>
        <w:ind w:firstLine="709"/>
        <w:jc w:val="center"/>
        <w:spacing w:after="0" w:line="240" w:lineRule="auto"/>
        <w:rPr>
          <w:rFonts w:ascii="Times New Roman" w:hAnsi="Times New Roman" w:cs="Times New Roman"/>
          <w:sz w:val="24"/>
          <w:szCs w:val="24"/>
          <w:highlight w:val="yellow"/>
        </w:rPr>
      </w:pPr>
      <w:r>
        <w:rPr>
          <w:rFonts w:ascii="Times New Roman" w:hAnsi="Times New Roman" w:cs="Times New Roman"/>
          <w:b/>
          <w:sz w:val="24"/>
          <w:szCs w:val="24"/>
        </w:rPr>
        <w:t xml:space="preserve">10. ЮРИДИЧЕСКИЕ АДРЕСА И РЕКВИЗИТЫ СТОРОН </w:t>
      </w:r>
    </w:p>
    <w:p>
      <w:pPr>
        <w:jc w:val="both"/>
        <w:spacing w:after="0" w:line="240" w:lineRule="auto"/>
        <w:rPr>
          <w:rFonts w:ascii="Times New Roman" w:hAnsi="Times New Roman" w:cs="Times New Roman"/>
          <w:sz w:val="24"/>
          <w:szCs w:val="24"/>
        </w:rPr>
      </w:pPr>
    </w:p>
    <w:tbl>
      <w:tblPr>
        <w:tblW w:w="0" w:type="auto"/>
        <w:tblLook w:val="04A0" w:firstRow="1" w:lastRow="0" w:firstColumn="1" w:lastColumn="0" w:noHBand="0" w:noVBand="1"/>
      </w:tblPr>
      <w:tblGrid>
        <w:gridCol w:w="4927"/>
        <w:gridCol w:w="4928"/>
      </w:tblGrid>
      <w:tr>
        <w:tc>
          <w:tcPr>
            <w:tcW w:w="4927" w:type="dxa"/>
          </w:tcPr>
          <w:p>
            <w:pPr>
              <w:jc w:val="center"/>
              <w:spacing w:after="0" w:line="240" w:lineRule="auto"/>
              <w:rPr>
                <w:rFonts w:ascii="Times New Roman" w:eastAsiaTheme="minorHAnsi" w:hAnsi="Times New Roman" w:cs="Times New Roman"/>
                <w:b/>
                <w:sz w:val="24"/>
                <w:szCs w:val="24"/>
              </w:rPr>
            </w:pPr>
            <w:r>
              <w:rPr>
                <w:rFonts w:ascii="Times New Roman" w:eastAsiaTheme="minorHAnsi" w:hAnsi="Times New Roman" w:cs="Times New Roman"/>
                <w:b/>
                <w:sz w:val="24"/>
                <w:szCs w:val="24"/>
              </w:rPr>
              <w:t>Энергоснабжающая организация:</w:t>
            </w:r>
          </w:p>
          <w:p>
            <w:pPr>
              <w:jc w:val="center"/>
              <w:spacing w:after="0" w:line="240" w:lineRule="auto"/>
              <w:rPr>
                <w:rFonts w:ascii="Times New Roman" w:eastAsiaTheme="minorHAnsi" w:hAnsi="Times New Roman" w:cs="Times New Roman"/>
                <w:b/>
                <w:sz w:val="24"/>
                <w:szCs w:val="24"/>
              </w:rPr>
            </w:pP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ООО «ПриобьСтройГарант»</w:t>
            </w:r>
            <w:r>
              <w:rPr>
                <w:rFonts w:ascii="Times New Roman" w:eastAsiaTheme="minorHAnsi" w:hAnsi="Times New Roman" w:cs="Times New Roman"/>
                <w:sz w:val="24"/>
                <w:szCs w:val="24"/>
              </w:rPr>
              <w:tab/>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Юридический адрес:</w:t>
            </w:r>
            <w:r>
              <w:rPr>
                <w:rFonts w:ascii="Times New Roman" w:eastAsiaTheme="minorHAnsi" w:hAnsi="Times New Roman" w:cs="Times New Roman"/>
                <w:sz w:val="24"/>
                <w:szCs w:val="24"/>
              </w:rPr>
              <w:tab/>
            </w:r>
            <w:r>
              <w:rPr>
                <w:rFonts w:ascii="Times New Roman" w:eastAsiaTheme="minorHAnsi" w:hAnsi="Times New Roman" w:cs="Times New Roman"/>
                <w:sz w:val="24"/>
                <w:szCs w:val="24"/>
              </w:rPr>
              <w:tab/>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628109, Россия, Тюменская область,</w:t>
            </w:r>
            <w:r>
              <w:rPr>
                <w:rFonts w:ascii="Times New Roman" w:eastAsiaTheme="minorHAnsi" w:hAnsi="Times New Roman" w:cs="Times New Roman"/>
                <w:sz w:val="24"/>
                <w:szCs w:val="24"/>
              </w:rPr>
              <w:tab/>
            </w:r>
            <w:r>
              <w:rPr>
                <w:rFonts w:ascii="Times New Roman" w:eastAsiaTheme="minorHAnsi" w:hAnsi="Times New Roman" w:cs="Times New Roman"/>
                <w:sz w:val="24"/>
                <w:szCs w:val="24"/>
              </w:rPr>
              <w:t xml:space="preserve"> </w:t>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Ханты-Мансийский автономный округ-Югра, Октябрьский район,</w:t>
            </w:r>
            <w:r>
              <w:rPr>
                <w:rFonts w:ascii="Times New Roman" w:eastAsiaTheme="minorHAnsi" w:hAnsi="Times New Roman" w:cs="Times New Roman"/>
                <w:sz w:val="24"/>
                <w:szCs w:val="24"/>
              </w:rPr>
              <w:tab/>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с. Перегребное, ул. Строителей, 51</w:t>
            </w:r>
            <w:r>
              <w:rPr>
                <w:rFonts w:ascii="Times New Roman" w:eastAsiaTheme="minorHAnsi" w:hAnsi="Times New Roman" w:cs="Times New Roman"/>
                <w:sz w:val="24"/>
                <w:szCs w:val="24"/>
              </w:rPr>
              <w:tab/>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ИНН 8614000871 </w:t>
            </w:r>
            <w:r>
              <w:rPr>
                <w:rFonts w:ascii="Times New Roman" w:eastAsiaTheme="minorHAnsi" w:hAnsi="Times New Roman" w:cs="Times New Roman"/>
                <w:sz w:val="24"/>
                <w:szCs w:val="24"/>
              </w:rPr>
              <w:tab/>
            </w:r>
            <w:r>
              <w:rPr>
                <w:rFonts w:ascii="Times New Roman" w:eastAsiaTheme="minorHAnsi" w:hAnsi="Times New Roman" w:cs="Times New Roman"/>
                <w:sz w:val="24"/>
                <w:szCs w:val="24"/>
              </w:rPr>
              <w:tab/>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КПП 861401001</w:t>
            </w:r>
            <w:r>
              <w:rPr>
                <w:rFonts w:ascii="Times New Roman" w:eastAsiaTheme="minorHAnsi" w:hAnsi="Times New Roman" w:cs="Times New Roman"/>
                <w:sz w:val="24"/>
                <w:szCs w:val="24"/>
              </w:rPr>
              <w:tab/>
            </w:r>
            <w:r>
              <w:rPr>
                <w:rFonts w:ascii="Times New Roman" w:eastAsiaTheme="minorHAnsi" w:hAnsi="Times New Roman" w:cs="Times New Roman"/>
                <w:sz w:val="24"/>
                <w:szCs w:val="24"/>
              </w:rPr>
              <w:tab/>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ОГРН 1168617052757</w:t>
            </w:r>
            <w:r>
              <w:rPr>
                <w:rFonts w:ascii="Times New Roman" w:eastAsiaTheme="minorHAnsi" w:hAnsi="Times New Roman" w:cs="Times New Roman"/>
                <w:sz w:val="24"/>
                <w:szCs w:val="24"/>
              </w:rPr>
              <w:tab/>
            </w:r>
            <w:r>
              <w:rPr>
                <w:rFonts w:ascii="Times New Roman" w:eastAsiaTheme="minorHAnsi" w:hAnsi="Times New Roman" w:cs="Times New Roman"/>
                <w:sz w:val="24"/>
                <w:szCs w:val="24"/>
              </w:rPr>
              <w:tab/>
            </w:r>
            <w:r>
              <w:rPr>
                <w:rFonts w:ascii="Times New Roman" w:eastAsiaTheme="minorHAnsi" w:hAnsi="Times New Roman" w:cs="Times New Roman"/>
                <w:sz w:val="24"/>
                <w:szCs w:val="24"/>
              </w:rPr>
              <w:t xml:space="preserve"> </w:t>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р/счет 40702810967460001081</w:t>
            </w:r>
            <w:r>
              <w:rPr>
                <w:rFonts w:ascii="Times New Roman" w:eastAsiaTheme="minorHAnsi" w:hAnsi="Times New Roman" w:cs="Times New Roman"/>
                <w:sz w:val="24"/>
                <w:szCs w:val="24"/>
              </w:rPr>
              <w:tab/>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к/счет 30101810800000000651</w:t>
            </w:r>
            <w:r>
              <w:rPr>
                <w:rFonts w:ascii="Times New Roman" w:eastAsiaTheme="minorHAnsi" w:hAnsi="Times New Roman" w:cs="Times New Roman"/>
                <w:sz w:val="24"/>
                <w:szCs w:val="24"/>
              </w:rPr>
              <w:tab/>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Ханты-Мансийское ОСБ № 1791 </w:t>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Западно - Сибирского банка СБ РФ</w:t>
            </w:r>
          </w:p>
          <w:p>
            <w:pPr>
              <w:jc w:val="both"/>
              <w:spacing w:after="0" w:line="240" w:lineRule="auto"/>
              <w:rPr>
                <w:rFonts w:ascii="Times New Roman" w:hAnsi="Times New Roman" w:cs="Times New Roman"/>
                <w:sz w:val="24"/>
                <w:szCs w:val="24"/>
              </w:rPr>
            </w:pPr>
            <w:r>
              <w:rPr>
                <w:rFonts w:ascii="Times New Roman" w:hAnsi="Times New Roman" w:cs="Times New Roman"/>
                <w:sz w:val="24"/>
                <w:szCs w:val="24"/>
              </w:rPr>
              <w:t>БИК 047102651</w:t>
            </w:r>
          </w:p>
          <w:p>
            <w:pPr>
              <w:spacing w:after="0" w:line="240" w:lineRule="auto"/>
              <w:rPr>
                <w:rFonts w:ascii="Times New Roman" w:eastAsiaTheme="minorHAnsi" w:hAnsi="Times New Roman" w:cs="Times New Roman"/>
                <w:b/>
                <w:sz w:val="24"/>
                <w:szCs w:val="24"/>
              </w:rPr>
            </w:pPr>
          </w:p>
        </w:tc>
        <w:tc>
          <w:tcPr>
            <w:tcW w:w="4928" w:type="dxa"/>
          </w:tcPr>
          <w:p>
            <w:pPr>
              <w:jc w:val="center"/>
              <w:spacing w:after="0" w:line="240" w:lineRule="auto"/>
              <w:rPr>
                <w:rFonts w:ascii="Times New Roman" w:eastAsiaTheme="minorHAnsi" w:hAnsi="Times New Roman" w:cs="Times New Roman"/>
                <w:b/>
                <w:sz w:val="24"/>
                <w:szCs w:val="24"/>
              </w:rPr>
            </w:pPr>
            <w:r>
              <w:rPr>
                <w:rFonts w:ascii="Times New Roman" w:eastAsiaTheme="minorHAnsi" w:hAnsi="Times New Roman" w:cs="Times New Roman"/>
                <w:b/>
                <w:sz w:val="24"/>
                <w:szCs w:val="24"/>
              </w:rPr>
              <w:t>Абонент:</w:t>
            </w:r>
          </w:p>
          <w:p>
            <w:pPr>
              <w:jc w:val="center"/>
              <w:spacing w:after="0" w:line="240" w:lineRule="auto"/>
              <w:rPr>
                <w:rFonts w:ascii="Times New Roman" w:eastAsiaTheme="minorHAnsi" w:hAnsi="Times New Roman" w:cs="Times New Roman"/>
                <w:b/>
                <w:sz w:val="24"/>
                <w:szCs w:val="24"/>
              </w:rPr>
            </w:pPr>
          </w:p>
          <w:p>
            <w:pPr>
              <w:spacing w:after="0" w:line="240" w:lineRule="auto"/>
              <w:rPr>
                <w:lang w:val="en-US"/>
                <w:rFonts w:ascii="Times New Roman" w:eastAsiaTheme="minorHAnsi" w:hAnsi="Times New Roman" w:cs="Times New Roman"/>
                <w:b/>
                <w:sz w:val="24"/>
                <w:szCs w:val="24"/>
              </w:rPr>
            </w:pPr>
          </w:p>
        </w:tc>
      </w:tr>
    </w:tbl>
    <w:p>
      <w:pPr>
        <w:jc w:val="both"/>
        <w:spacing w:after="0" w:line="240" w:lineRule="auto"/>
        <w:rPr>
          <w:rFonts w:ascii="Times New Roman" w:hAnsi="Times New Roman" w:cs="Times New Roman"/>
          <w:sz w:val="24"/>
          <w:szCs w:val="24"/>
        </w:rPr>
      </w:pPr>
    </w:p>
    <w:p>
      <w:pPr>
        <w:spacing w:after="0" w:line="240" w:lineRule="auto"/>
        <w:rPr>
          <w:lang w:val="en-US"/>
          <w:rFonts w:ascii="Times New Roman" w:hAnsi="Times New Roman" w:cs="Times New Roman"/>
          <w:sz w:val="24"/>
          <w:szCs w:val="24"/>
        </w:rPr>
      </w:pPr>
    </w:p>
    <w:tbl>
      <w:tblPr>
        <w:tblW w:w="0" w:type="auto"/>
        <w:tblLook w:val="04A0" w:firstRow="1" w:lastRow="0" w:firstColumn="1" w:lastColumn="0" w:noHBand="0" w:noVBand="1"/>
      </w:tblPr>
      <w:tblGrid>
        <w:gridCol w:w="4927"/>
        <w:gridCol w:w="4928"/>
      </w:tblGrid>
      <w:tr>
        <w:trPr>
          <w:trHeight w:val="1329" w:hRule="atLeast"/>
        </w:trPr>
        <w:tc>
          <w:tcPr>
            <w:tcW w:w="4927" w:type="dxa"/>
          </w:tcPr>
          <w:p>
            <w:pPr>
              <w:spacing w:after="0" w:line="240" w:lineRule="auto"/>
              <w:rPr>
                <w:rFonts w:ascii="Times New Roman" w:eastAsiaTheme="minorHAnsi" w:hAnsi="Times New Roman" w:cs="Times New Roman"/>
                <w:b/>
                <w:sz w:val="24"/>
              </w:rPr>
            </w:pPr>
          </w:p>
          <w:p>
            <w:pPr>
              <w:spacing w:after="0" w:line="240" w:lineRule="auto"/>
              <w:rPr>
                <w:rFonts w:ascii="Times New Roman" w:eastAsiaTheme="minorHAnsi" w:hAnsi="Times New Roman" w:cs="Times New Roman"/>
                <w:sz w:val="24"/>
              </w:rPr>
            </w:pPr>
            <w:r>
              <w:rPr>
                <w:rFonts w:ascii="Times New Roman" w:eastAsiaTheme="minorHAnsi" w:hAnsi="Times New Roman" w:cs="Times New Roman"/>
                <w:sz w:val="24"/>
              </w:rPr>
              <w:t>Генеральный  директор</w:t>
            </w:r>
            <w:r>
              <w:rPr>
                <w:rFonts w:ascii="Times New Roman" w:eastAsiaTheme="minorHAnsi" w:hAnsi="Times New Roman" w:cs="Times New Roman"/>
                <w:sz w:val="24"/>
              </w:rPr>
              <w:tab/>
            </w:r>
            <w:r>
              <w:rPr>
                <w:rFonts w:ascii="Times New Roman" w:eastAsiaTheme="minorHAnsi" w:hAnsi="Times New Roman" w:cs="Times New Roman"/>
                <w:sz w:val="24"/>
              </w:rPr>
              <w:tab/>
            </w:r>
            <w:r>
              <w:rPr>
                <w:rFonts w:ascii="Times New Roman" w:eastAsiaTheme="minorHAnsi" w:hAnsi="Times New Roman" w:cs="Times New Roman"/>
                <w:sz w:val="24"/>
              </w:rPr>
              <w:t xml:space="preserve"> </w:t>
            </w:r>
          </w:p>
          <w:p>
            <w:pPr>
              <w:spacing w:after="0" w:line="240" w:lineRule="auto"/>
              <w:rPr>
                <w:rFonts w:ascii="Times New Roman" w:eastAsiaTheme="minorHAnsi" w:hAnsi="Times New Roman" w:cs="Times New Roman"/>
                <w:sz w:val="24"/>
              </w:rPr>
            </w:pPr>
            <w:r>
              <w:rPr>
                <w:rFonts w:ascii="Times New Roman" w:eastAsiaTheme="minorHAnsi" w:hAnsi="Times New Roman" w:cs="Times New Roman"/>
                <w:sz w:val="24"/>
              </w:rPr>
              <w:t>ООО «ПриобьСтройГарант»</w:t>
            </w:r>
          </w:p>
          <w:p>
            <w:pPr>
              <w:spacing w:after="0" w:line="240" w:lineRule="auto"/>
              <w:rPr>
                <w:rFonts w:ascii="Times New Roman" w:eastAsiaTheme="minorHAnsi" w:hAnsi="Times New Roman" w:cs="Times New Roman"/>
                <w:sz w:val="24"/>
              </w:rPr>
            </w:pPr>
            <w:r>
              <w:rPr>
                <w:rFonts w:ascii="Times New Roman" w:eastAsiaTheme="minorHAnsi" w:hAnsi="Times New Roman" w:cs="Times New Roman"/>
                <w:sz w:val="24"/>
              </w:rPr>
              <w:tab/>
            </w:r>
            <w:r>
              <w:rPr>
                <w:rFonts w:ascii="Times New Roman" w:eastAsiaTheme="minorHAnsi" w:hAnsi="Times New Roman" w:cs="Times New Roman"/>
                <w:sz w:val="24"/>
              </w:rPr>
              <w:tab/>
            </w:r>
          </w:p>
          <w:p>
            <w:pPr>
              <w:spacing w:after="0" w:line="240" w:lineRule="auto"/>
              <w:rPr>
                <w:rFonts w:ascii="Times New Roman" w:eastAsiaTheme="minorHAnsi" w:hAnsi="Times New Roman" w:cs="Times New Roman"/>
                <w:sz w:val="24"/>
              </w:rPr>
            </w:pPr>
            <w:r>
              <w:rPr>
                <w:rFonts w:ascii="Times New Roman" w:eastAsiaTheme="minorHAnsi" w:hAnsi="Times New Roman" w:cs="Times New Roman"/>
                <w:sz w:val="24"/>
              </w:rPr>
              <w:t xml:space="preserve">______________Р.Н. Петров </w:t>
            </w:r>
          </w:p>
          <w:p>
            <w:pPr>
              <w:spacing w:after="0" w:line="240" w:lineRule="auto"/>
              <w:rPr>
                <w:rFonts w:ascii="Times New Roman" w:eastAsiaTheme="minorHAnsi" w:hAnsi="Times New Roman" w:cs="Times New Roman"/>
                <w:b/>
                <w:sz w:val="24"/>
                <w:szCs w:val="24"/>
              </w:rPr>
            </w:pPr>
            <w:r>
              <w:rPr>
                <w:rFonts w:ascii="Times New Roman" w:eastAsiaTheme="minorHAnsi" w:hAnsi="Times New Roman" w:cs="Times New Roman"/>
                <w:sz w:val="24"/>
              </w:rPr>
              <w:t>М.П.</w:t>
            </w:r>
          </w:p>
        </w:tc>
        <w:tc>
          <w:tcPr>
            <w:tcW w:w="4928" w:type="dxa"/>
          </w:tcPr>
          <w:p>
            <w:pPr>
              <w:spacing w:after="0" w:line="240" w:lineRule="auto"/>
              <w:rPr>
                <w:rFonts w:ascii="Times New Roman" w:eastAsiaTheme="minorHAnsi" w:hAnsi="Times New Roman" w:cs="Times New Roman"/>
                <w:sz w:val="24"/>
              </w:rPr>
            </w:pPr>
          </w:p>
        </w:tc>
      </w:tr>
    </w:tbl>
    <w:p>
      <w:pPr>
        <w:jc w:val="right"/>
        <w:rPr>
          <w:rFonts w:ascii="Times New Roman" w:hAnsi="Times New Roman" w:cs="Times New Roman"/>
          <w:sz w:val="24"/>
          <w:szCs w:val="24"/>
        </w:rPr>
      </w:pPr>
    </w:p>
    <w:p>
      <w:pPr>
        <w:jc w:val="right"/>
        <w:rPr>
          <w:rFonts w:ascii="Times New Roman" w:hAnsi="Times New Roman" w:cs="Times New Roman"/>
          <w:sz w:val="24"/>
          <w:szCs w:val="24"/>
        </w:rPr>
      </w:pPr>
    </w:p>
    <w:p>
      <w:pPr>
        <w:jc w:val="right"/>
        <w:rPr>
          <w:rFonts w:ascii="Times New Roman" w:hAnsi="Times New Roman" w:cs="Times New Roman"/>
          <w:sz w:val="24"/>
          <w:szCs w:val="24"/>
        </w:rPr>
      </w:pPr>
    </w:p>
    <w:p>
      <w:pPr>
        <w:jc w:val="right"/>
        <w:rPr>
          <w:rFonts w:ascii="Times New Roman" w:hAnsi="Times New Roman" w:cs="Times New Roman"/>
          <w:sz w:val="24"/>
          <w:szCs w:val="24"/>
        </w:rPr>
      </w:pPr>
    </w:p>
    <w:p>
      <w:pPr>
        <w:jc w:val="right"/>
        <w:rPr>
          <w:lang w:val="en-US"/>
          <w:rFonts w:ascii="Times New Roman" w:hAnsi="Times New Roman" w:cs="Times New Roman"/>
          <w:sz w:val="24"/>
          <w:szCs w:val="24"/>
        </w:rPr>
      </w:pPr>
    </w:p>
    <w:p>
      <w:pPr>
        <w:jc w:val="right"/>
        <w:rPr>
          <w:lang w:val="en-US"/>
          <w:rFonts w:ascii="Times New Roman" w:hAnsi="Times New Roman" w:cs="Times New Roman"/>
          <w:sz w:val="24"/>
          <w:szCs w:val="24"/>
        </w:rPr>
      </w:pPr>
    </w:p>
    <w:p>
      <w:pPr>
        <w:jc w:val="right"/>
        <w:rPr>
          <w:lang w:val="en-US"/>
          <w:rFonts w:ascii="Times New Roman" w:hAnsi="Times New Roman" w:cs="Times New Roman"/>
          <w:sz w:val="24"/>
          <w:szCs w:val="24"/>
        </w:rPr>
      </w:pPr>
    </w:p>
    <w:p>
      <w:pPr>
        <w:jc w:val="right"/>
        <w:rPr>
          <w:lang w:val="en-US"/>
          <w:rFonts w:ascii="Times New Roman" w:hAnsi="Times New Roman" w:cs="Times New Roman"/>
          <w:sz w:val="24"/>
          <w:szCs w:val="24"/>
        </w:rPr>
      </w:pPr>
    </w:p>
    <w:p>
      <w:pPr>
        <w:jc w:val="right"/>
        <w:spacing w:after="0" w:line="0" w:lineRule="atLeast"/>
        <w:rPr>
          <w:lang w:eastAsia="ru-RU"/>
          <w:rFonts w:ascii="Times New Roman" w:eastAsia="Times New Roman" w:hAnsi="Times New Roman" w:cs="Times New Roman"/>
          <w:sz w:val="24"/>
          <w:szCs w:val="24"/>
          <w:rtl w:val="off"/>
        </w:rPr>
      </w:pPr>
    </w:p>
    <w:p>
      <w:pPr>
        <w:jc w:val="right"/>
        <w:spacing w:after="0" w:line="0" w:lineRule="atLeast"/>
        <w:rPr>
          <w:lang w:eastAsia="ru-RU"/>
          <w:rFonts w:ascii="Times New Roman" w:eastAsia="Times New Roman" w:hAnsi="Times New Roman" w:cs="Times New Roman"/>
          <w:sz w:val="24"/>
          <w:szCs w:val="24"/>
          <w:rtl w:val="off"/>
        </w:rPr>
      </w:pPr>
    </w:p>
    <w:p>
      <w:pPr>
        <w:jc w:val="right"/>
        <w:spacing w:after="0" w:line="0" w:lineRule="atLeast"/>
        <w:rPr>
          <w:lang w:eastAsia="ru-RU"/>
          <w:rFonts w:ascii="Times New Roman" w:eastAsia="Times New Roman" w:hAnsi="Times New Roman" w:cs="Times New Roman"/>
          <w:sz w:val="24"/>
          <w:szCs w:val="24"/>
          <w:rtl w:val="off"/>
        </w:rPr>
      </w:pPr>
    </w:p>
    <w:p>
      <w:pPr>
        <w:jc w:val="right"/>
        <w:spacing w:after="0" w:line="0" w:lineRule="atLeast"/>
        <w:rPr>
          <w:lang w:eastAsia="ru-RU"/>
          <w:rFonts w:ascii="Times New Roman" w:eastAsia="Times New Roman" w:hAnsi="Times New Roman" w:cs="Times New Roman"/>
          <w:sz w:val="24"/>
          <w:szCs w:val="24"/>
          <w:rtl w:val="off"/>
        </w:rPr>
      </w:pPr>
    </w:p>
    <w:p/>
    <w:sectPr>
      <w:pgSz w:w="11906" w:h="16838"/>
      <w:pgMar w:top="650" w:right="974" w:bottom="551" w:left="1390" w:header="708" w:footer="708" w:gutter="0"/>
      <w:cols w:space="708"/>
      <w:docGrid w:linePitch="360"/>
      <w:footerReference w:type="default" r:id="rI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cc"/>
    <w:notTrueType w:val="true"/>
    <w:sig w:usb0="E0002EFF" w:usb1="C000785B" w:usb2="00000009" w:usb3="00000001" w:csb0="400001FF" w:csb1="FFFF0000"/>
  </w:font>
  <w:font w:name="Arial">
    <w:panose1 w:val="020B0604020202020204"/>
    <w:family w:val="swiss"/>
    <w:charset w:val="cc"/>
    <w:notTrueType w:val="true"/>
    <w:sig w:usb0="E0002EFF" w:usb1="C000785B" w:usb2="00000009" w:usb3="00000001" w:csb0="400001FF" w:csb1="FFFF0000"/>
  </w:font>
  <w:font w:name="Symbol">
    <w:panose1 w:val="05050102010706020507"/>
    <w:family w:val="roman"/>
    <w:charset w:val="02"/>
    <w:notTrueType w:val="true"/>
    <w:sig w:usb0="00000001" w:usb1="00000001" w:usb2="00000001" w:usb3="00000001" w:csb0="80000000" w:csb1="00000001"/>
  </w:font>
  <w:font w:name="Courier New">
    <w:panose1 w:val="02070309020205020404"/>
    <w:family w:val="modern"/>
    <w:charset w:val="cc"/>
    <w:notTrueType w:val="true"/>
    <w:sig w:usb0="E0002EFF" w:usb1="C0007843" w:usb2="00000009" w:usb3="00000001" w:csb0="400001FF" w:csb1="FFFF0000"/>
  </w:font>
  <w:font w:name="Wingdings">
    <w:panose1 w:val="05000000000000000000"/>
    <w:family w:val="auto"/>
    <w:charset w:val="02"/>
    <w:notTrueType w:val="true"/>
    <w:sig w:usb0="00000001" w:usb1="00000001" w:usb2="00000001" w:usb3="00000001" w:csb0="80000000" w:csb1="00000001"/>
  </w:font>
  <w:font w:name="Calibri">
    <w:panose1 w:val="020F0502020204030204"/>
    <w:family w:val="swiss"/>
    <w:charset w:val="cc"/>
    <w:notTrueType w:val="true"/>
    <w:sig w:usb0="E4002EFF" w:usb1="C000247B" w:usb2="00000009" w:usb3="00000001" w:csb0="200001FF" w:csb1="000000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affa"/>
      <w:jc w:val="right"/>
      <w:pBdr>
        <w:top w:val="single" w:sz="4" w:space="1" w:color="808080"/>
      </w:pBdr>
      <w:rPr>
        <w:rFonts w:ascii="Arial" w:hAnsi="Arial"/>
        <w:color w:val="000000"/>
      </w:rPr>
    </w:pPr>
    <w:r>
      <w:rPr>
        <w:rFonts w:ascii="Arial" w:hAnsi="Arial"/>
        <w:b/>
        <w:color w:val="000000"/>
      </w:rPr>
      <w:fldChar w:fldCharType="begin"/>
    </w:r>
    <w:r>
      <w:rPr>
        <w:rFonts w:ascii="Arial" w:hAnsi="Arial"/>
        <w:b/>
        <w:color w:val="000000"/>
      </w:rPr>
      <w:instrText xml:space="preserve"> PAGE   \* MERGEFORMAT </w:instrText>
    </w:r>
    <w:r>
      <w:rPr>
        <w:rFonts w:ascii="Arial" w:hAnsi="Arial"/>
        <w:b/>
        <w:color w:val="000000"/>
      </w:rPr>
      <w:fldChar w:fldCharType="separate"/>
    </w:r>
    <w:r>
      <w:rPr>
        <w:rFonts w:ascii="Arial" w:hAnsi="Arial"/>
        <w:b/>
        <w:noProof/>
        <w:color w:val="000000"/>
      </w:rPr>
      <w:t>10</w:t>
    </w:r>
    <w:r>
      <w:rPr>
        <w:rFonts w:ascii="Arial" w:hAnsi="Arial"/>
        <w:b/>
        <w:color w:val="000000"/>
      </w:rPr>
      <w:fldChar w:fldCharType="end"/>
    </w:r>
    <w:r>
      <w:rPr>
        <w:rFonts w:ascii="Arial" w:hAnsi="Arial"/>
        <w:b/>
        <w:color w:val="000000"/>
      </w:rPr>
      <w:t>│</w:t>
    </w:r>
    <w:r>
      <w:rPr>
        <w:rFonts w:ascii="Arial" w:hAnsi="Arial"/>
        <w:color w:val="000000"/>
      </w:rPr>
      <w:t xml:space="preserve">Страница </w:t>
    </w:r>
  </w:p>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a1211d1"/>
    <w:multiLevelType w:val="hybridMultilevel"/>
    <w:tmpl w:val="4a42276e"/>
    <w:lvl w:ilvl="0" w:tplc="de9a7a38">
      <w:start w:val="1"/>
      <w:numFmt w:val="bullet"/>
      <w:lvlText w:val=""/>
      <w:lvlJc w:val="left"/>
      <w:pPr>
        <w:ind w:left="720" w:hanging="360"/>
      </w:pPr>
      <w:rPr>
        <w:rFonts w:ascii="Symbol" w:hAnsi="Symbol" w:hint="default"/>
      </w:rPr>
    </w:lvl>
    <w:lvl w:ilvl="1" w:tentative="on" w:tplc="4190003">
      <w:start w:val="1"/>
      <w:numFmt w:val="bullet"/>
      <w:lvlText w:val="o"/>
      <w:lvlJc w:val="left"/>
      <w:pPr>
        <w:ind w:left="1440" w:hanging="360"/>
      </w:pPr>
      <w:rPr>
        <w:rFonts w:ascii="Courier New" w:hAnsi="Courier New" w:cs="Courier New" w:hint="default"/>
      </w:rPr>
    </w:lvl>
    <w:lvl w:ilvl="2" w:tentative="on" w:tplc="4190005">
      <w:start w:val="1"/>
      <w:numFmt w:val="bullet"/>
      <w:lvlText w:val=""/>
      <w:lvlJc w:val="left"/>
      <w:pPr>
        <w:ind w:left="2160" w:hanging="360"/>
      </w:pPr>
      <w:rPr>
        <w:rFonts w:ascii="Wingdings" w:hAnsi="Wingdings" w:hint="default"/>
      </w:rPr>
    </w:lvl>
    <w:lvl w:ilvl="3" w:tentative="on" w:tplc="4190001">
      <w:start w:val="1"/>
      <w:numFmt w:val="bullet"/>
      <w:lvlText w:val=""/>
      <w:lvlJc w:val="left"/>
      <w:pPr>
        <w:ind w:left="2880" w:hanging="360"/>
      </w:pPr>
      <w:rPr>
        <w:rFonts w:ascii="Symbol" w:hAnsi="Symbol" w:hint="default"/>
      </w:rPr>
    </w:lvl>
    <w:lvl w:ilvl="4" w:tentative="on" w:tplc="4190003">
      <w:start w:val="1"/>
      <w:numFmt w:val="bullet"/>
      <w:lvlText w:val="o"/>
      <w:lvlJc w:val="left"/>
      <w:pPr>
        <w:ind w:left="3600" w:hanging="360"/>
      </w:pPr>
      <w:rPr>
        <w:rFonts w:ascii="Courier New" w:hAnsi="Courier New" w:cs="Courier New" w:hint="default"/>
      </w:rPr>
    </w:lvl>
    <w:lvl w:ilvl="5" w:tentative="on" w:tplc="4190005">
      <w:start w:val="1"/>
      <w:numFmt w:val="bullet"/>
      <w:lvlText w:val=""/>
      <w:lvlJc w:val="left"/>
      <w:pPr>
        <w:ind w:left="4320" w:hanging="360"/>
      </w:pPr>
      <w:rPr>
        <w:rFonts w:ascii="Wingdings" w:hAnsi="Wingdings" w:hint="default"/>
      </w:rPr>
    </w:lvl>
    <w:lvl w:ilvl="6" w:tentative="on" w:tplc="4190001">
      <w:start w:val="1"/>
      <w:numFmt w:val="bullet"/>
      <w:lvlText w:val=""/>
      <w:lvlJc w:val="left"/>
      <w:pPr>
        <w:ind w:left="5040" w:hanging="360"/>
      </w:pPr>
      <w:rPr>
        <w:rFonts w:ascii="Symbol" w:hAnsi="Symbol" w:hint="default"/>
      </w:rPr>
    </w:lvl>
    <w:lvl w:ilvl="7" w:tentative="on" w:tplc="4190003">
      <w:start w:val="1"/>
      <w:numFmt w:val="bullet"/>
      <w:lvlText w:val="o"/>
      <w:lvlJc w:val="left"/>
      <w:pPr>
        <w:ind w:left="5760" w:hanging="360"/>
      </w:pPr>
      <w:rPr>
        <w:rFonts w:ascii="Courier New" w:hAnsi="Courier New" w:cs="Courier New" w:hint="default"/>
      </w:rPr>
    </w:lvl>
    <w:lvl w:ilvl="8" w:tentative="on" w:tplc="4190005">
      <w:start w:val="1"/>
      <w:numFmt w:val="bullet"/>
      <w:lvlText w:val=""/>
      <w:lvlJc w:val="left"/>
      <w:pPr>
        <w:ind w:left="6480" w:hanging="360"/>
      </w:pPr>
      <w:rPr>
        <w:rFonts w:ascii="Wingdings" w:hAnsi="Wingdings" w:hint="default"/>
      </w:rPr>
    </w:lvl>
  </w:abstractNum>
  <w:abstractNum w:abstractNumId="1">
    <w:nsid w:val="5746c92"/>
    <w:multiLevelType w:val="hybridMultilevel"/>
    <w:tmpl w:val="eda8c6e4"/>
    <w:lvl w:ilvl="0" w:tplc="de9a7a38">
      <w:start w:val="1"/>
      <w:numFmt w:val="bullet"/>
      <w:lvlText w:val=""/>
      <w:lvlJc w:val="left"/>
      <w:pPr>
        <w:ind w:left="1429" w:hanging="360"/>
      </w:pPr>
      <w:rPr>
        <w:rFonts w:ascii="Symbol" w:hAnsi="Symbol" w:hint="default"/>
      </w:rPr>
    </w:lvl>
    <w:lvl w:ilvl="1" w:tentative="on" w:tplc="4190003">
      <w:start w:val="1"/>
      <w:numFmt w:val="bullet"/>
      <w:lvlText w:val="o"/>
      <w:lvlJc w:val="left"/>
      <w:pPr>
        <w:ind w:left="2149" w:hanging="360"/>
      </w:pPr>
      <w:rPr>
        <w:rFonts w:ascii="Courier New" w:hAnsi="Courier New" w:cs="Courier New" w:hint="default"/>
      </w:rPr>
    </w:lvl>
    <w:lvl w:ilvl="2" w:tentative="on" w:tplc="4190005">
      <w:start w:val="1"/>
      <w:numFmt w:val="bullet"/>
      <w:lvlText w:val=""/>
      <w:lvlJc w:val="left"/>
      <w:pPr>
        <w:ind w:left="2869" w:hanging="360"/>
      </w:pPr>
      <w:rPr>
        <w:rFonts w:ascii="Wingdings" w:hAnsi="Wingdings" w:hint="default"/>
      </w:rPr>
    </w:lvl>
    <w:lvl w:ilvl="3" w:tentative="on" w:tplc="4190001">
      <w:start w:val="1"/>
      <w:numFmt w:val="bullet"/>
      <w:lvlText w:val=""/>
      <w:lvlJc w:val="left"/>
      <w:pPr>
        <w:ind w:left="3589" w:hanging="360"/>
      </w:pPr>
      <w:rPr>
        <w:rFonts w:ascii="Symbol" w:hAnsi="Symbol" w:hint="default"/>
      </w:rPr>
    </w:lvl>
    <w:lvl w:ilvl="4" w:tentative="on" w:tplc="4190003">
      <w:start w:val="1"/>
      <w:numFmt w:val="bullet"/>
      <w:lvlText w:val="o"/>
      <w:lvlJc w:val="left"/>
      <w:pPr>
        <w:ind w:left="4309" w:hanging="360"/>
      </w:pPr>
      <w:rPr>
        <w:rFonts w:ascii="Courier New" w:hAnsi="Courier New" w:cs="Courier New" w:hint="default"/>
      </w:rPr>
    </w:lvl>
    <w:lvl w:ilvl="5" w:tentative="on" w:tplc="4190005">
      <w:start w:val="1"/>
      <w:numFmt w:val="bullet"/>
      <w:lvlText w:val=""/>
      <w:lvlJc w:val="left"/>
      <w:pPr>
        <w:ind w:left="5029" w:hanging="360"/>
      </w:pPr>
      <w:rPr>
        <w:rFonts w:ascii="Wingdings" w:hAnsi="Wingdings" w:hint="default"/>
      </w:rPr>
    </w:lvl>
    <w:lvl w:ilvl="6" w:tentative="on" w:tplc="4190001">
      <w:start w:val="1"/>
      <w:numFmt w:val="bullet"/>
      <w:lvlText w:val=""/>
      <w:lvlJc w:val="left"/>
      <w:pPr>
        <w:ind w:left="5749" w:hanging="360"/>
      </w:pPr>
      <w:rPr>
        <w:rFonts w:ascii="Symbol" w:hAnsi="Symbol" w:hint="default"/>
      </w:rPr>
    </w:lvl>
    <w:lvl w:ilvl="7" w:tentative="on" w:tplc="4190003">
      <w:start w:val="1"/>
      <w:numFmt w:val="bullet"/>
      <w:lvlText w:val="o"/>
      <w:lvlJc w:val="left"/>
      <w:pPr>
        <w:ind w:left="6469" w:hanging="360"/>
      </w:pPr>
      <w:rPr>
        <w:rFonts w:ascii="Courier New" w:hAnsi="Courier New" w:cs="Courier New" w:hint="default"/>
      </w:rPr>
    </w:lvl>
    <w:lvl w:ilvl="8" w:tentative="on" w:tplc="4190005">
      <w:start w:val="1"/>
      <w:numFmt w:val="bullet"/>
      <w:lvlText w:val=""/>
      <w:lvlJc w:val="left"/>
      <w:pPr>
        <w:ind w:left="7189" w:hanging="360"/>
      </w:pPr>
      <w:rPr>
        <w:rFonts w:ascii="Wingdings" w:hAnsi="Wingdings" w:hint="default"/>
      </w:rPr>
    </w:lvl>
  </w:abstractNum>
  <w:abstractNum w:abstractNumId="2">
    <w:nsid w:val="5746c92"/>
    <w:multiLevelType w:val="hybridMultilevel"/>
    <w:tmpl w:val="eda8c6e4"/>
    <w:lvl w:ilvl="0" w:tplc="de9a7a38">
      <w:start w:val="1"/>
      <w:numFmt w:val="bullet"/>
      <w:lvlText w:val=""/>
      <w:lvlJc w:val="left"/>
      <w:pPr>
        <w:ind w:left="1429" w:hanging="360"/>
      </w:pPr>
      <w:rPr>
        <w:rFonts w:ascii="Symbol" w:hAnsi="Symbol" w:hint="default"/>
      </w:rPr>
    </w:lvl>
    <w:lvl w:ilvl="1" w:tentative="on" w:tplc="4190003">
      <w:start w:val="1"/>
      <w:numFmt w:val="bullet"/>
      <w:lvlText w:val="o"/>
      <w:lvlJc w:val="left"/>
      <w:pPr>
        <w:ind w:left="2149" w:hanging="360"/>
      </w:pPr>
      <w:rPr>
        <w:rFonts w:ascii="Courier New" w:hAnsi="Courier New" w:cs="Courier New" w:hint="default"/>
      </w:rPr>
    </w:lvl>
    <w:lvl w:ilvl="2" w:tentative="on" w:tplc="4190005">
      <w:start w:val="1"/>
      <w:numFmt w:val="bullet"/>
      <w:lvlText w:val=""/>
      <w:lvlJc w:val="left"/>
      <w:pPr>
        <w:ind w:left="2869" w:hanging="360"/>
      </w:pPr>
      <w:rPr>
        <w:rFonts w:ascii="Wingdings" w:hAnsi="Wingdings" w:hint="default"/>
      </w:rPr>
    </w:lvl>
    <w:lvl w:ilvl="3" w:tentative="on" w:tplc="4190001">
      <w:start w:val="1"/>
      <w:numFmt w:val="bullet"/>
      <w:lvlText w:val=""/>
      <w:lvlJc w:val="left"/>
      <w:pPr>
        <w:ind w:left="3589" w:hanging="360"/>
      </w:pPr>
      <w:rPr>
        <w:rFonts w:ascii="Symbol" w:hAnsi="Symbol" w:hint="default"/>
      </w:rPr>
    </w:lvl>
    <w:lvl w:ilvl="4" w:tentative="on" w:tplc="4190003">
      <w:start w:val="1"/>
      <w:numFmt w:val="bullet"/>
      <w:lvlText w:val="o"/>
      <w:lvlJc w:val="left"/>
      <w:pPr>
        <w:ind w:left="4309" w:hanging="360"/>
      </w:pPr>
      <w:rPr>
        <w:rFonts w:ascii="Courier New" w:hAnsi="Courier New" w:cs="Courier New" w:hint="default"/>
      </w:rPr>
    </w:lvl>
    <w:lvl w:ilvl="5" w:tentative="on" w:tplc="4190005">
      <w:start w:val="1"/>
      <w:numFmt w:val="bullet"/>
      <w:lvlText w:val=""/>
      <w:lvlJc w:val="left"/>
      <w:pPr>
        <w:ind w:left="5029" w:hanging="360"/>
      </w:pPr>
      <w:rPr>
        <w:rFonts w:ascii="Wingdings" w:hAnsi="Wingdings" w:hint="default"/>
      </w:rPr>
    </w:lvl>
    <w:lvl w:ilvl="6" w:tentative="on" w:tplc="4190001">
      <w:start w:val="1"/>
      <w:numFmt w:val="bullet"/>
      <w:lvlText w:val=""/>
      <w:lvlJc w:val="left"/>
      <w:pPr>
        <w:ind w:left="5749" w:hanging="360"/>
      </w:pPr>
      <w:rPr>
        <w:rFonts w:ascii="Symbol" w:hAnsi="Symbol" w:hint="default"/>
      </w:rPr>
    </w:lvl>
    <w:lvl w:ilvl="7" w:tentative="on" w:tplc="4190003">
      <w:start w:val="1"/>
      <w:numFmt w:val="bullet"/>
      <w:lvlText w:val="o"/>
      <w:lvlJc w:val="left"/>
      <w:pPr>
        <w:ind w:left="6469" w:hanging="360"/>
      </w:pPr>
      <w:rPr>
        <w:rFonts w:ascii="Courier New" w:hAnsi="Courier New" w:cs="Courier New" w:hint="default"/>
      </w:rPr>
    </w:lvl>
    <w:lvl w:ilvl="8" w:tentative="on" w:tplc="4190005">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90"/>
  <w:removePersonalInformation/>
  <w:bordersDontSurroundHeader/>
  <w:bordersDontSurroundFooter/>
  <w:hideGrammaticalErrors/>
  <w:proofState w:spelling="clean" w:grammar="clean"/>
  <w:defaultTabStop w:val="708"/>
  <w:drawingGridHorizontalSpacing w:val="1000"/>
  <w:drawingGridVerticalSpacing w:val="1000"/>
  <w:displayHorizontalDrawingGridEvery w:val="1"/>
  <w:displayVerticalDrawingGridEvery w:val="1"/>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0"/>
    <m:wrapRight m:val="0"/>
    <m:intLim m:val="subSup"/>
    <m:naryLim m:val="undOvr"/>
    <m:interSp m:val="0"/>
    <m:intraSp m:val="0"/>
    <m:preSp m:val="0"/>
    <m:postSp m:val="0"/>
  </m:mathPr>
  <w:themeFontLang w:val="ru-RU" w:eastAsia="ko-KR" w:bidi="ar-SA"/>
</w:settings>
</file>

<file path=word/styles.xml><?xml version="1.0" encoding="utf-8"?>
<w:styles xmlns:r="http://schemas.openxmlformats.org/officeDocument/2006/relationships" xmlns:w="http://schemas.openxmlformats.org/wordprocessingml/2006/main">
  <w:docDefaults>
    <w:rPrDefault>
      <w:rPr>
        <w:lang w:val="ru-RU" w:eastAsia="ru-RU" w:bidi="ar-SA"/>
        <w:rFonts w:ascii="Calibri" w:eastAsia="Calibri" w:hAnsi="Calibri" w:cs="Arial"/>
      </w:rPr>
    </w:rPrDefault>
    <w:pPrDefault>
      <w:pPr/>
    </w:pPrDefault>
  </w:docDefaults>
  <w:style w:type="paragraph" w:default="1" w:styleId="a1">
    <w:name w:val="Normal"/>
    <w:qFormat/>
    <w:pPr>
      <w:spacing w:after="200" w:line="276" w:lineRule="auto"/>
    </w:pPr>
    <w:rPr>
      <w:lang w:eastAsia="en-US"/>
      <w:sz w:val="22"/>
      <w:szCs w:val="22"/>
    </w:rPr>
  </w:style>
  <w:style w:type="character" w:default="1" w:styleId="a2">
    <w:name w:val="Default Paragraph Font"/>
    <w:semiHidden/>
    <w:unhideWhenUsed/>
  </w:style>
  <w:style w:type="table" w:default="1" w:styleId="a3">
    <w:name w:val="Normal Table"/>
    <w:qFormat/>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character" w:customStyle="1" w:styleId="blk">
    <w:name w:val="blk"/>
    <w:basedOn w:val="a2"/>
  </w:style>
  <w:style w:type="paragraph" w:styleId="af3">
    <w:name w:val="List Paragraph"/>
    <w:basedOn w:val="a1"/>
    <w:qFormat/>
    <w:pPr>
      <w:ind w:left="720"/>
      <w:contextualSpacing/>
    </w:pPr>
  </w:style>
  <w:style w:type="paragraph" w:styleId="affa">
    <w:name w:val="footer"/>
    <w:basedOn w:val="a1"/>
    <w:pPr>
      <w:tabs>
        <w:tab w:val="center" w:pos="4677"/>
        <w:tab w:val="right" w:pos="9355"/>
      </w:tabs>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er" Target="foot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mvideo</cp:lastModifiedBy>
  <cp:revision>1</cp:revision>
  <dcterms:created xsi:type="dcterms:W3CDTF">2016-12-15T08:55:00Z</dcterms:created>
  <dcterms:modified xsi:type="dcterms:W3CDTF">2020-12-19T06:27:18Z</dcterms:modified>
  <cp:lastPrinted>2020-01-14T12:48:34Z</cp:lastPrinted>
  <cp:version>0900.0000.01</cp:version>
</cp:coreProperties>
</file>