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ind w:firstLine="709"/>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ДОГОВОР № </w:t>
      </w:r>
      <w:r>
        <w:rPr>
          <w:lang w:eastAsia="ru-RU"/>
          <w:rFonts w:ascii="Times New Roman" w:eastAsia="Times New Roman" w:hAnsi="Times New Roman" w:cs="Times New Roman"/>
          <w:b/>
          <w:sz w:val="24"/>
          <w:szCs w:val="24"/>
          <w:spacing w:val="2"/>
          <w:rtl w:val="off"/>
        </w:rPr>
        <w:t>_____</w:t>
      </w:r>
    </w:p>
    <w:p>
      <w:pPr>
        <w:ind w:firstLine="709"/>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на холодное водоснабжение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u w:val="single" w:color="auto"/>
          <w:spacing w:val="2"/>
        </w:rPr>
      </w:pPr>
      <w:r>
        <w:rPr>
          <w:lang w:eastAsia="ru-RU"/>
          <w:rFonts w:ascii="Times New Roman" w:eastAsia="Times New Roman" w:hAnsi="Times New Roman" w:cs="Times New Roman"/>
          <w:sz w:val="24"/>
          <w:szCs w:val="24"/>
          <w:spacing w:val="2"/>
        </w:rPr>
        <w:br/>
      </w:r>
      <w:r>
        <w:rPr>
          <w:lang w:eastAsia="ru-RU"/>
          <w:rFonts w:ascii="Times New Roman" w:eastAsia="Times New Roman" w:hAnsi="Times New Roman" w:cs="Times New Roman"/>
          <w:sz w:val="24"/>
          <w:szCs w:val="24"/>
          <w:spacing w:val="2"/>
        </w:rPr>
        <w:t>с. Перегребное</w:t>
      </w:r>
      <w:r>
        <w:rPr>
          <w:lang w:eastAsia="ru-RU"/>
          <w:rFonts w:ascii="Times New Roman" w:eastAsia="Times New Roman" w:hAnsi="Times New Roman" w:cs="Times New Roman"/>
          <w:sz w:val="24"/>
          <w:szCs w:val="24"/>
          <w:spacing w:val="2"/>
        </w:rPr>
        <w:tab/>
      </w:r>
      <w:r>
        <w:rPr>
          <w:lang w:eastAsia="ru-RU"/>
          <w:rFonts w:ascii="Times New Roman" w:eastAsia="Times New Roman" w:hAnsi="Times New Roman" w:cs="Times New Roman"/>
          <w:sz w:val="24"/>
          <w:szCs w:val="24"/>
          <w:spacing w:val="2"/>
        </w:rPr>
        <w:tab/>
      </w:r>
      <w:r>
        <w:rPr>
          <w:lang w:eastAsia="ru-RU"/>
          <w:rFonts w:ascii="Times New Roman" w:eastAsia="Times New Roman" w:hAnsi="Times New Roman" w:cs="Times New Roman"/>
          <w:sz w:val="24"/>
          <w:szCs w:val="24"/>
          <w:spacing w:val="2"/>
        </w:rPr>
        <w:t xml:space="preserve">                                                                    </w:t>
      </w:r>
      <w:r>
        <w:rPr>
          <w:lang w:eastAsia="ru-RU"/>
          <w:rFonts w:ascii="Times New Roman" w:eastAsia="Times New Roman" w:hAnsi="Times New Roman" w:cs="Times New Roman"/>
          <w:sz w:val="24"/>
          <w:szCs w:val="24"/>
          <w:spacing w:val="2"/>
          <w:rtl w:val="off"/>
        </w:rPr>
        <w:t xml:space="preserve">     </w:t>
      </w:r>
      <w:r>
        <w:rPr>
          <w:lang w:eastAsia="ru-RU"/>
          <w:rFonts w:ascii="Times New Roman" w:eastAsia="Times New Roman" w:hAnsi="Times New Roman" w:cs="Times New Roman"/>
          <w:sz w:val="24"/>
          <w:szCs w:val="24"/>
          <w:u w:val="single" w:color="auto"/>
          <w:spacing w:val="2"/>
          <w:rtl w:val="off"/>
        </w:rPr>
        <w:t xml:space="preserve"> </w:t>
      </w:r>
      <w:r>
        <w:rPr>
          <w:lang w:eastAsia="ru-RU"/>
          <w:rFonts w:ascii="Times New Roman" w:eastAsia="Times New Roman" w:hAnsi="Times New Roman" w:cs="Times New Roman"/>
          <w:sz w:val="24"/>
          <w:szCs w:val="24"/>
          <w:u w:val="single" w:color="auto"/>
          <w:spacing w:val="2"/>
        </w:rPr>
        <w:t>«</w:t>
      </w:r>
      <w:r>
        <w:rPr>
          <w:lang w:eastAsia="ru-RU"/>
          <w:rFonts w:ascii="Times New Roman" w:eastAsia="Times New Roman" w:hAnsi="Times New Roman" w:cs="Times New Roman"/>
          <w:sz w:val="24"/>
          <w:szCs w:val="24"/>
          <w:u w:val="single" w:color="auto"/>
          <w:spacing w:val="2"/>
          <w:rtl w:val="off"/>
        </w:rPr>
        <w:t>__</w:t>
      </w:r>
      <w:r>
        <w:rPr>
          <w:lang w:eastAsia="ru-RU"/>
          <w:rFonts w:ascii="Times New Roman" w:eastAsia="Times New Roman" w:hAnsi="Times New Roman" w:cs="Times New Roman"/>
          <w:sz w:val="24"/>
          <w:szCs w:val="24"/>
          <w:u w:val="single" w:color="auto"/>
          <w:spacing w:val="2"/>
        </w:rPr>
        <w:t xml:space="preserve">» </w:t>
      </w:r>
      <w:r>
        <w:rPr>
          <w:lang w:eastAsia="ru-RU"/>
          <w:rFonts w:ascii="Times New Roman" w:eastAsia="Times New Roman" w:hAnsi="Times New Roman" w:cs="Times New Roman"/>
          <w:sz w:val="24"/>
          <w:szCs w:val="24"/>
          <w:u w:val="single" w:color="auto"/>
          <w:spacing w:val="2"/>
          <w:rtl w:val="off"/>
        </w:rPr>
        <w:t>________</w:t>
      </w:r>
      <w:r>
        <w:rPr>
          <w:lang w:eastAsia="ru-RU"/>
          <w:rFonts w:ascii="Times New Roman" w:eastAsia="Times New Roman" w:hAnsi="Times New Roman" w:cs="Times New Roman"/>
          <w:sz w:val="24"/>
          <w:szCs w:val="24"/>
          <w:u w:val="single" w:color="auto"/>
          <w:spacing w:val="2"/>
        </w:rPr>
        <w:t xml:space="preserve">  20</w:t>
      </w:r>
      <w:r>
        <w:rPr>
          <w:lang w:eastAsia="ru-RU"/>
          <w:rFonts w:ascii="Times New Roman" w:eastAsia="Times New Roman" w:hAnsi="Times New Roman" w:cs="Times New Roman"/>
          <w:sz w:val="24"/>
          <w:szCs w:val="24"/>
          <w:u w:val="single" w:color="auto"/>
          <w:spacing w:val="2"/>
          <w:rtl w:val="off"/>
        </w:rPr>
        <w:t xml:space="preserve">    </w:t>
      </w:r>
      <w:r>
        <w:rPr>
          <w:lang w:eastAsia="ru-RU"/>
          <w:rFonts w:ascii="Times New Roman" w:eastAsia="Times New Roman" w:hAnsi="Times New Roman" w:cs="Times New Roman"/>
          <w:sz w:val="24"/>
          <w:szCs w:val="24"/>
          <w:u w:val="single" w:color="auto"/>
          <w:spacing w:val="2"/>
        </w:rPr>
        <w:t>года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p>
    <w:p>
      <w:pPr>
        <w:ind w:firstLine="709"/>
        <w:contextualSpacing/>
        <w:jc w:val="both"/>
        <w:spacing w:after="0" w:line="240" w:lineRule="auto"/>
        <w:rPr>
          <w:rFonts w:ascii="Times New Roman" w:hAnsi="Times New Roman" w:cs="Times New Roman"/>
          <w:sz w:val="24"/>
          <w:szCs w:val="24"/>
        </w:rPr>
      </w:pPr>
      <w:r>
        <w:rPr>
          <w:rFonts w:ascii="Times New Roman" w:hAnsi="Times New Roman" w:cs="Times New Roman"/>
          <w:b/>
          <w:bCs/>
          <w:sz w:val="24"/>
          <w:szCs w:val="24"/>
        </w:rPr>
        <w:t>Общество с ограниченной ответственностью «ПриобьСтройГарант»</w:t>
      </w:r>
      <w:r>
        <w:rPr>
          <w:rFonts w:ascii="Times New Roman" w:hAnsi="Times New Roman" w:cs="Times New Roman"/>
          <w:sz w:val="24"/>
          <w:szCs w:val="24"/>
        </w:rPr>
        <w:t xml:space="preserve">, именуемое в дальнейшем «Энергоснабжающая организация», в лице генерального директора Петрова Романа Николаевича, действующего на основании Устава, с одной стороны, и </w:t>
      </w:r>
    </w:p>
    <w:p>
      <w:pPr>
        <w:ind w:firstLine="567"/>
        <w:jc w:val="both"/>
        <w:tabs>
          <w:tab w:val="left" w:pos="1134"/>
        </w:tabs>
        <w:spacing w:after="0" w:line="240" w:lineRule="auto"/>
        <w:rPr>
          <w:rFonts w:ascii="Times New Roman" w:hAnsi="Times New Roman" w:cs="Times New Roman"/>
          <w:sz w:val="24"/>
          <w:szCs w:val="24"/>
        </w:rPr>
      </w:pPr>
      <w:r>
        <w:rPr>
          <w:rFonts w:ascii="Times New Roman" w:hAnsi="Times New Roman" w:cs="Times New Roman"/>
          <w:b/>
          <w:bCs/>
          <w:sz w:val="24"/>
          <w:szCs w:val="24"/>
          <w:rtl w:val="off"/>
        </w:rPr>
        <w:t>________________________________________________</w:t>
      </w:r>
      <w:r>
        <w:rPr>
          <w:rFonts w:ascii="Times New Roman" w:hAnsi="Times New Roman" w:cs="Times New Roman"/>
          <w:b/>
          <w:bCs/>
          <w:sz w:val="24"/>
          <w:szCs w:val="24"/>
        </w:rPr>
        <w:t xml:space="preserve">, </w:t>
      </w:r>
      <w:r>
        <w:rPr>
          <w:rFonts w:ascii="Times New Roman" w:hAnsi="Times New Roman" w:cs="Times New Roman"/>
          <w:sz w:val="24"/>
          <w:szCs w:val="24"/>
        </w:rPr>
        <w:t xml:space="preserve">именуемое в дальнейшем «Абонент», в лице </w:t>
      </w:r>
      <w:r>
        <w:rPr>
          <w:rFonts w:ascii="Times New Roman" w:hAnsi="Times New Roman" w:cs="Times New Roman"/>
          <w:sz w:val="24"/>
          <w:szCs w:val="24"/>
          <w:rtl w:val="off"/>
        </w:rPr>
        <w:t>_____________________________</w:t>
      </w:r>
      <w:r>
        <w:rPr>
          <w:rFonts w:ascii="Times New Roman" w:hAnsi="Times New Roman" w:cs="Times New Roman"/>
          <w:sz w:val="24"/>
          <w:szCs w:val="24"/>
        </w:rPr>
        <w:t xml:space="preserve"> действующего на основании  Устава, с другой Стороны, вместе именуемые «Стороны», согласно</w:t>
      </w:r>
      <w:r>
        <w:rPr>
          <w:rFonts w:ascii="Times New Roman" w:hAnsi="Times New Roman" w:cs="Times New Roman"/>
          <w:sz w:val="24"/>
          <w:szCs w:val="24"/>
          <w:rtl w:val="off"/>
        </w:rPr>
        <w:t xml:space="preserve"> </w:t>
      </w:r>
      <w:r>
        <w:rPr>
          <w:rFonts w:ascii="Times New Roman" w:hAnsi="Times New Roman" w:cs="Times New Roman"/>
          <w:sz w:val="24"/>
          <w:szCs w:val="24"/>
        </w:rPr>
        <w:t xml:space="preserve">пункта </w:t>
      </w:r>
      <w:r>
        <w:rPr>
          <w:rFonts w:ascii="Times New Roman" w:hAnsi="Times New Roman" w:cs="Times New Roman"/>
          <w:sz w:val="24"/>
          <w:szCs w:val="24"/>
          <w:rtl w:val="off"/>
        </w:rPr>
        <w:t>__ части ___</w:t>
      </w:r>
      <w:r>
        <w:rPr>
          <w:rFonts w:ascii="Times New Roman" w:hAnsi="Times New Roman" w:cs="Times New Roman"/>
          <w:sz w:val="24"/>
          <w:szCs w:val="24"/>
        </w:rPr>
        <w:t xml:space="preserve">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в плане-графике </w:t>
      </w:r>
      <w:r>
        <w:rPr>
          <w:rFonts w:ascii="Times New Roman" w:hAnsi="Times New Roman" w:cs="Times New Roman"/>
          <w:b w:val="0"/>
          <w:bCs w:val="0"/>
          <w:sz w:val="24"/>
          <w:szCs w:val="24"/>
          <w:rtl w:val="off"/>
        </w:rPr>
        <w:t>_______________________________________</w:t>
      </w:r>
      <w:r>
        <w:rPr>
          <w:rFonts w:ascii="Times New Roman" w:hAnsi="Times New Roman" w:cs="Times New Roman"/>
          <w:sz w:val="24"/>
          <w:szCs w:val="24"/>
        </w:rPr>
        <w:t>, заключили настоящий Договор  о нижеследующем:</w:t>
      </w:r>
    </w:p>
    <w:p>
      <w:pPr>
        <w:jc w:val="center"/>
        <w:tabs>
          <w:tab w:val="left" w:pos="1134"/>
        </w:tabs>
        <w:spacing w:after="0" w:line="240" w:lineRule="auto"/>
        <w:rPr>
          <w:rFonts w:ascii="Times New Roman" w:hAnsi="Times New Roman" w:cs="Times New Roman"/>
          <w:b/>
          <w:sz w:val="24"/>
          <w:szCs w:val="24"/>
          <w:rtl w:val="off"/>
        </w:rPr>
      </w:pPr>
    </w:p>
    <w:p>
      <w:pPr>
        <w:jc w:val="center"/>
        <w:tabs>
          <w:tab w:val="left" w:pos="1134"/>
        </w:tabs>
        <w:spacing w:after="0" w:line="240" w:lineRule="auto"/>
        <w:rPr>
          <w:rFonts w:ascii="Times New Roman" w:hAnsi="Times New Roman" w:cs="Times New Roman"/>
          <w:b/>
          <w:sz w:val="24"/>
          <w:szCs w:val="24"/>
        </w:rPr>
      </w:pPr>
      <w:r>
        <w:rPr>
          <w:rFonts w:ascii="Times New Roman" w:hAnsi="Times New Roman" w:cs="Times New Roman"/>
          <w:b/>
          <w:sz w:val="24"/>
          <w:szCs w:val="24"/>
        </w:rPr>
        <w:t>1. ПРЕДМЕТ ДОГОВОРА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1.1. По настоящему Договору организация водопроводно-канализационного хозяйства, осуществляющая холодное водоснабжение, обязуется подавать абоненту через присоединенную водопроводную сеть из централизованных систем холодного водоснабжения</w:t>
      </w:r>
      <w:r>
        <w:rPr>
          <w:rFonts w:ascii="Times New Roman" w:hAnsi="Times New Roman" w:cs="Times New Roman"/>
          <w:sz w:val="24"/>
          <w:szCs w:val="24"/>
        </w:rPr>
        <w:t xml:space="preserve"> </w:t>
      </w:r>
      <w:r>
        <w:rPr>
          <w:lang w:eastAsia="ru-RU"/>
          <w:rFonts w:ascii="Times New Roman" w:eastAsia="Times New Roman" w:hAnsi="Times New Roman" w:cs="Times New Roman"/>
          <w:sz w:val="24"/>
          <w:szCs w:val="24"/>
          <w:spacing w:val="2"/>
        </w:rPr>
        <w:t xml:space="preserve">холодную (питьевую) воду.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Абонент обязуется оплачивать принятую холодную (питьевую) воду (далее - холодная вода) установленного качества в объеме, определенном настоящим договором, и соблюдать предусмотренный настоящим договором режим ее потребления, обеспечивать безопасность эксплуатации находящихся в его ведении водопроводных сетей и исправность используемых им приборов учета.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1.2. Граница балансовой принадлежности водопроводных сетей абонента и организации водопроводно-канализационного хозяйства и эксплуатационной ответственности по водопроводным сетям абонента и организации водопроводно-канализационного хозяйства находится на запорной арматуре в водопроводном колодце.</w:t>
      </w:r>
    </w:p>
    <w:p>
      <w:pPr>
        <w:ind w:firstLine="708"/>
        <w:jc w:val="both"/>
        <w:spacing w:after="0"/>
        <w:rPr>
          <w:rFonts w:ascii="Times New Roman" w:hAnsi="Times New Roman" w:cs="Times New Roman"/>
          <w:sz w:val="24"/>
          <w:szCs w:val="24"/>
        </w:rPr>
      </w:pPr>
      <w:r>
        <w:rPr>
          <w:rFonts w:ascii="Times New Roman" w:hAnsi="Times New Roman" w:cs="Times New Roman"/>
          <w:sz w:val="24"/>
          <w:szCs w:val="24"/>
        </w:rPr>
        <w:t>1.3. Код Общероссийского классификатора видов экономической деятельности</w:t>
      </w:r>
    </w:p>
    <w:p>
      <w:pPr>
        <w:jc w:val="both"/>
        <w:spacing w:after="0"/>
        <w:rPr>
          <w:rFonts w:ascii="Times New Roman" w:hAnsi="Times New Roman" w:cs="Times New Roman"/>
          <w:sz w:val="24"/>
          <w:szCs w:val="24"/>
        </w:rPr>
      </w:pPr>
      <w:r>
        <w:rPr>
          <w:rFonts w:ascii="Times New Roman" w:hAnsi="Times New Roman" w:cs="Times New Roman"/>
          <w:sz w:val="24"/>
          <w:szCs w:val="24"/>
        </w:rPr>
        <w:t xml:space="preserve"> (ОК 029-2014):</w:t>
      </w:r>
      <w:r>
        <w:rPr>
          <w:rFonts w:ascii="Times New Roman" w:hAnsi="Times New Roman" w:cs="Times New Roman"/>
          <w:b/>
          <w:i/>
          <w:color w:val="FF0000"/>
          <w:sz w:val="24"/>
          <w:szCs w:val="24"/>
        </w:rPr>
        <w:t xml:space="preserve"> </w:t>
      </w:r>
      <w:r>
        <w:rPr>
          <w:rFonts w:ascii="Times New Roman" w:hAnsi="Times New Roman" w:cs="Times New Roman"/>
          <w:i/>
          <w:sz w:val="24"/>
          <w:szCs w:val="24"/>
        </w:rPr>
        <w:t xml:space="preserve">ОКВЭД </w:t>
      </w:r>
      <w:r>
        <w:rPr>
          <w:rFonts w:ascii="Times New Roman" w:hAnsi="Times New Roman" w:cs="Times New Roman"/>
          <w:i/>
          <w:color w:val="000000"/>
          <w:sz w:val="24"/>
          <w:szCs w:val="24"/>
        </w:rPr>
        <w:t>36.00.11.000 – Вода холодная питьевая.</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1.4 Местом исполнения обязательств по настоящему Договору является здание, расположенное по следующему адресу:</w:t>
      </w:r>
      <w:r>
        <w:rPr>
          <w:lang w:eastAsia="ru-RU"/>
          <w:rFonts w:ascii="Times New Roman" w:eastAsia="Times New Roman" w:hAnsi="Times New Roman" w:cs="Times New Roman"/>
          <w:sz w:val="24"/>
          <w:szCs w:val="24"/>
          <w:spacing w:val="2"/>
          <w:rtl w:val="off"/>
        </w:rPr>
        <w:t>__________________________</w:t>
      </w:r>
    </w:p>
    <w:p>
      <w:pPr>
        <w:ind w:firstLine="709"/>
        <w:jc w:val="both"/>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p>
    <w:p>
      <w:pPr>
        <w:ind w:firstLine="709"/>
        <w:outlineLvl w:val="2"/>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2. ПРАВА И ОБЯЗАННОСТИ ОРГАНИЗАЦИИ ВОДОПРОВОДНО-КАНАЛИЗАЦИОННОГО ХОЗЯЙСТВА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2.1. Организация водопроводно-канализационного хозяйства обязана: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а) осуществлять подачу абоненту холодной воды установленного качества и в объеме, установленном настоящим Договором, не допускать ухудшения качества питьевой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б) обеспечивать эксплуатацию водопроводных сетей, принадлежащих ей на праве собственности или на ином законном основании и (или) находящихся в границах ее эксплуатационной ответственности, в соответствии с требованиями нормативно-технических документов;</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в) осуществлять производственный контроль качества холодной (питьевой) воды;</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г) соблюдать установленный режим подачи холодной воды;</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д) с даты выявления несоответствия показателей холодной (питьевой) воды, характеризующих ее безопасность, требованиям законодательства Российской Федерации незамедлительно извещать об этом абонента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е)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ж)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з) при участии абонента, если иное не предусмотрено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организации коммерческого учета воды, сточных вод</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осуществлять допуск узлов учета, устройств и сооружений, предназначенных для подключения к централизованной системе холодного водоснабжения, к эксплуатации;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и) опломбировать абоненту приборы учета без взимания платы, за исключением случаев, предусмотренных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организации коммерческого учета воды, сточных вод</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при которых взимается плата за опломбирование приборов учета;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к) предупреждать абонента о временном прекращении или ограничении холодного водоснабжения в порядке и случаях, которые предусмотрены настоящим Договором и нормативными правовыми актами Российской Федерации;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л) принимать необходимые меры по своевременной ликвидации аварий и повреждений на централизованных системах холодного водоснабжения, принадлежащих ей на праве собственности или на ином законном основании, в порядке и сроки, которые установлены нормативно-технической документацией, а также меры по возобновлению действия таких систем с соблюдением требований, установленных законодательством Российской Федерации в области обеспечения санитарно-эпидемиологического благополучия населения (за исключением подачи холодной (технической) воды);</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м) обеспечивать установку на централизованной системе холодного водоснабжения, принадлежащей ей на праве собственности или на ином законном основании, указателей пожарных гидрантов в соответствии с требованиями норм противопожарной безопасности, следить за возможностью беспрепятственного доступа в любое время года к пожарным гидрантам, находящимся на ее обслуживании;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н)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в случае временного прекращения или ограничения холодного водоснабжения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о)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п) уведомлять абонента о графиках и сроках проведения планово-предупредительного ремонта водопроводных сетей, через которые осуществляется холодное водоснабжение.</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2.2. Организация водопроводно-канализационного хозяйства вправе:</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а) осуществлять контроль за правильностью учета объемов поданной (полученной) абонентом холодной воды;</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б) осуществлять контроль за наличием самовольного пользования и (или) самовольного подключения абонента к централизованной системе холодного водоснабжения и принимать меры по предотвращению самовольного пользования и (или) самовольного подключения к централизованной системе холодного водоснабжения;</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в) временно прекращать или ограничивать холодное водоснабжение в порядке и случаях, которые предусмотрены законодательством Российской Федерации;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г) иметь беспрепятственный доступ к водопроводным сетям, местам отбора проб холодной воды и приборам учета в порядке, предусмотренном  настоящим Договором;</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д) инициировать проведение сверки расчетов по настоящему Договору</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w:t>
      </w:r>
    </w:p>
    <w:p>
      <w:pPr>
        <w:ind w:firstLine="709"/>
        <w:outlineLvl w:val="2"/>
        <w:jc w:val="center"/>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b/>
          <w:sz w:val="24"/>
          <w:szCs w:val="24"/>
          <w:spacing w:val="2"/>
        </w:rPr>
        <w:t>3. ПРАВА И ОБЯЗАННОСТИ АБОНЕНТА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3.1. Абонент обязан:</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а) обеспечивать эксплуатацию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б)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 соблюдать температурный режим в помещении, где расположен узел учета холодной воды (не менее +5°С), обеспечивать защиту такого помещения от несанкционированного проникновения, попадания грунтовых, талых и дождевых вод, вредных химических веществ, гидроизоляцию помещения, где расположен узел учета холодной воды, и помещений, где проходят водопроводные сети, от иных помещений, содержать указанные помещения в чистоте, не допускать хранения предметов, препятствующих доступу к узлам и приборам учета, а также механических, химических, электромагнитных или иных воздействий, которые могут искажать показания приборов учета;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в) обеспечивать учет получаемой холодной воды в порядке, установленном настоящим Договором, и в соответствии с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организации коммерческого учета воды, сточных</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вод, если иное не предусмотрено настоящим Договором;</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г) устанавливать приборы учета на границах эксплуатационной ответственности или в ином месте, определенном настоящим Договором;</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д) соблюдать установленный настоящим Договором режим потребления холодной воды;</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е) производить оплату по настоящему Договору в порядке, размере и в сроки, которые определены настоящим Договором;</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ж) обеспечивать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водопроводным сетям, местам отбора проб холодной воды и приборам учета;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з) содержать в исправном состоянии системы и средства противопожарного водоснабжения, принадлежащие ему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устанавливать соответствующие указатели согласно требованиям норм противопожарной безопасности;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и) незамедлительно уведомлять организацию водопроводно-канализационного хозяйства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к) уведомлять организацию водопроводно-канализационного хозяйства в случае перехода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а также в случае предоставления прав владения и (или) пользования такими объектами, устройствами или сооружениями третьим лицам;</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л) незамедлительно сообщать организации водопроводно-канализационного хозяйства обо всех повреждениях или неисправностях на водопроводных сетях, сооружениях и устройствах, приборах учета, о нарушении целостности пломб и нарушении работы централизованной системы холодного водоснабжения;</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м) обеспечивать в сроки, установленные законодательством Российской Федерации, ликвидацию повреждения или неисправности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и устранять последствия таких повреждений или неисправностей;</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н) предоставлять иным абонентам и транзитным организациям возможность подключения (технологического присоединения) к водопроводным сетям, сооружениям и устройствам, принадлежащим ему на законном основании, только при наличии согласия организации водопроводно-канализационного хозяйства;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о) не создавать препятствий для водоснабжения абонентов и транзитных организаций, водопроводные сети которых присоединены к водопроводным сетям абонента;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п) представлять организации водопроводно-канализационного хозяйства сведения об абонентах, водоснабжение которых осуществляется с использованием водопроводных сетей абонента, по форме и в объеме, которые согласованы сторонами настоящего Договора;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р) не допускать возведения построек, гаражей и стоянок транспортных средств, складирования материалов, мусора и древопосадок, а также не осуществлять производство земляных работ в местах устройства централизованной системы водоснабжения, в том числе в местах прокладки сетей, находящихся в границах его эксплуатационной ответственности, без согласования с организацией водопроводно-канализационного хозяйства;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с)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3.2. Абонент имеет право:</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а) получать от организации водопроводно-канализационного хозяйства информацию о результатах производственного контроля качества холодной (питьевой) воды, осуществляемого организацией водопроводно-канализационного хозяйства, в соответствии с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"http://docs.cntd.ru/document/420244203"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осуществления производственного контроля качества и безопасности питьевой воды, горячей воды</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утвержденными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"http://docs.cntd.ru/document/420244203"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постановлением Правительства Российской Федерации от 6 января 2015 года № 10 "О порядке осуществления производственного контроля качества и безопасности питьевой воды, горячей воды"</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(далее - Правила производственного контроля качества холодной (питьевой) воды, качества горячей воды);</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б) получать от организации водопроводно-канализационного хозяйства информацию об изменении установленных тарифов на холодную (питьевую) воду (питьевое водоснабжение), тарифов на холодную (техническую) воду;</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в) </w:t>
      </w:r>
      <w:r>
        <w:rPr>
          <w:lang w:eastAsia="ru-RU"/>
          <w:rFonts w:ascii="Times New Roman" w:eastAsia="Times New Roman" w:hAnsi="Times New Roman" w:cs="Times New Roman"/>
          <w:sz w:val="24"/>
          <w:szCs w:val="24"/>
        </w:rPr>
        <w:t>привлекать третьих лиц для выполнения работ по устройству узла учета;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г) инициировать проведение сверки расчетов по настоящему Договору;</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д) осуществлять в целях контроля качества холодной воды отбор проб холодной воды, в том числе параллельных проб, принимать участие в отборе проб холодной воды, осуществляемом организацией водопроводно-канализационного хозяйства.</w:t>
      </w:r>
    </w:p>
    <w:p>
      <w:pPr>
        <w:ind w:firstLine="709"/>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4. ПОРЯДОК ВРЕМЕННОГО ПРЕКРАЩЕНИЯ ИЛИ ОГРАНИЧЕНИЯ ХОЛОДНОГО ВОДОСНАБЖЕНИЯ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4.1. Организация водопроводно-канализационного хозяйства вправе осуществить временное прекращение или ограничение холодного водоснабжения абонента только в случаях, установленных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"http://docs.cntd.ru/document/902316140"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Федеральным законом "О водоснабжении и водоотведении"</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и при условии соблюдения порядка временного прекращения или ограничения холодного водоснабжения, установленного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"http://docs.cntd.ru/document/499036854"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холодного водоснабжения и водоотведения</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утвержденными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"http://docs.cntd.ru/document/499036854"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постановлением Правительства Российской Федерации от 29 июля 2013 года № 644 "Об утверждении Правил холодного водоснабжения и водоотведения и о внесении изменений в некоторые акты Правительства Российской Федерации"</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4.2. Организация водопроводно-канализационного хозяйства в течение одних суток со дня временного прекращения или ограничения холодного водоснабжения уведомляет о таком прекращении или ограничении:</w:t>
      </w:r>
      <w:r>
        <w:rPr>
          <w:lang w:eastAsia="ru-RU"/>
          <w:rFonts w:ascii="Times New Roman" w:eastAsia="Times New Roman" w:hAnsi="Times New Roman" w:cs="Times New Roman"/>
          <w:sz w:val="24"/>
          <w:szCs w:val="24"/>
        </w:rPr>
        <w:t xml:space="preserve"> Абонента, Администрацию с.п. Перегребное, структурное подразделение территориальных органов федерального органа исполнительной власти, уполномоченное на решение задач в области пожарной безопасности.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4.3. Уведомление организацией водопроводно-канализационного хозяйства о временном прекращении или ограничении холодного водоснабжения, а также уведомление о снятии такого прекращения или ограничения и возобновлении холодного водоснабжения направляются соответствующим лицам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pPr>
        <w:ind w:firstLine="709"/>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5. ПОРЯДОК ОСУЩЕСТВЛЕНИЯ КОММЕРЧЕСКОГО УЧЕТА ПОДАННОЙ (ПОЛУЧЕННОЙ) ХОЛОДНОЙ ВОДЫ.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5.1. Для учета объемов поданной абоненту холодной воды стороны используют приборы учета, если иное не предусмотрено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организации коммерческого учета воды, сточных вод</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w:t>
      </w:r>
    </w:p>
    <w:p>
      <w:pPr>
        <w:ind w:firstLine="709"/>
        <w:jc w:val="both"/>
        <w:shd w:val="clear" w:color="auto" w:fill="FFFFFF"/>
        <w:spacing w:after="0" w:line="240" w:lineRule="auto"/>
        <w:textAlignment w:val="baseline"/>
      </w:pPr>
      <w:r>
        <w:rPr>
          <w:lang w:eastAsia="ru-RU"/>
          <w:rFonts w:ascii="Times New Roman" w:eastAsia="Times New Roman" w:hAnsi="Times New Roman" w:cs="Times New Roman"/>
          <w:sz w:val="24"/>
          <w:szCs w:val="24"/>
          <w:spacing w:val="2"/>
        </w:rPr>
        <w:t>5.2. Количество поданной холодной воды определяется стороной, осуществляющей коммерческий учет поданной (полученной) холодной воды, в соответствии с данными учета фактического потребления холодной воды по показаниям приборов учета, за исключением случаев, когда такой учет осуществляется расчетным способом в соответствии с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организации коммерческого учета воды, сточных вод</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5.3. Сторона, осуществляющая коммерческий учет поданной (полученной) холодной воды, снимает показания приборов учета на последнее число расчетного периода, установленного настоящим Договором, либо определяет в случаях, предусмотренных законодательством Российской Федерации, количество поданной (полученной) холодной воды расчетным способом, вносит показания приборов учета в журнал учета расхода воды, передает эти сведения в организацию водопроводно-канализационного хозяйства (абоненту).</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5.4. Передача сторонами сведений о показаниях приборов учета и другой информации осуществляется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pPr>
        <w:ind w:firstLine="360"/>
        <w:jc w:val="center"/>
        <w:spacing w:after="0" w:line="240" w:lineRule="auto"/>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6. ПОРЯДОК РАСЧЕТОВ</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6.1. Абонент оплачивает </w:t>
      </w:r>
      <w:r>
        <w:rPr>
          <w:lang w:eastAsia="ru-RU"/>
          <w:rFonts w:ascii="Times New Roman" w:eastAsia="Times New Roman" w:hAnsi="Times New Roman" w:cs="Times New Roman"/>
          <w:sz w:val="24"/>
          <w:szCs w:val="24"/>
          <w:spacing w:val="2"/>
        </w:rPr>
        <w:t>Организации водопроводно-канализационного хозяйства: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стоимость холодной (питьевой) воды, исходя из тарифа, установленного уполномоченным органом в области государственного регулирования тарифов (Приложение № 1).</w:t>
      </w:r>
    </w:p>
    <w:p>
      <w:pPr>
        <w:ind w:firstLine="567"/>
        <w:jc w:val="both"/>
        <w:spacing w:after="0" w:line="240" w:lineRule="auto"/>
        <w:rPr>
          <w:lang w:eastAsia="ru-RU"/>
          <w:rFonts w:ascii="Times New Roman" w:eastAsia="Times New Roman" w:hAnsi="Times New Roman" w:cs="Times New Roman"/>
          <w:b/>
          <w:sz w:val="24"/>
          <w:szCs w:val="24"/>
          <w:spacing w:val="2"/>
        </w:rPr>
      </w:pPr>
      <w:r>
        <w:rPr>
          <w:rFonts w:ascii="Times New Roman" w:hAnsi="Times New Roman" w:cs="Times New Roman"/>
          <w:sz w:val="24"/>
          <w:szCs w:val="24"/>
        </w:rPr>
        <w:t>Изменение уполномоченным органом тарифа, применяемого при расчете, в период действия Договора не требует внесения изменений в Договор, а измененный тариф вводится в действие со дня его установления.</w:t>
      </w:r>
      <w:r>
        <w:rPr>
          <w:lang w:eastAsia="ru-RU"/>
          <w:rFonts w:ascii="Times New Roman" w:eastAsia="Times New Roman" w:hAnsi="Times New Roman" w:cs="Times New Roman"/>
          <w:b/>
          <w:sz w:val="24"/>
          <w:szCs w:val="24"/>
          <w:spacing w:val="2"/>
        </w:rPr>
        <w:t xml:space="preserve"> </w:t>
      </w:r>
    </w:p>
    <w:p>
      <w:pPr>
        <w:ind w:firstLine="567"/>
        <w:jc w:val="both"/>
        <w:spacing w:after="0" w:line="240" w:lineRule="auto"/>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6.2. Ориентировочная сумма настоящего Договора составляет </w:t>
      </w:r>
      <w:r>
        <w:rPr>
          <w:rFonts w:ascii="Times New Roman" w:eastAsia="Times New Roman" w:hAnsi="Times New Roman"/>
          <w:sz w:val="24"/>
          <w:szCs w:val="24"/>
          <w:rtl w:val="off"/>
        </w:rPr>
        <w:t>_____________</w:t>
      </w:r>
      <w:r>
        <w:rPr>
          <w:rFonts w:ascii="Times New Roman" w:eastAsia="Times New Roman" w:hAnsi="Times New Roman"/>
          <w:color w:val="000000"/>
          <w:sz w:val="24"/>
          <w:szCs w:val="24"/>
        </w:rPr>
        <w:t>рублей</w:t>
      </w:r>
      <w:r>
        <w:rPr>
          <w:lang w:eastAsia="ru-RU"/>
          <w:rFonts w:ascii="Times New Roman" w:eastAsia="Times New Roman" w:hAnsi="Times New Roman" w:cs="Times New Roman"/>
          <w:sz w:val="24"/>
          <w:szCs w:val="24"/>
          <w:spacing w:val="2"/>
        </w:rPr>
        <w:t>, с учетом НДС.</w:t>
      </w:r>
    </w:p>
    <w:p>
      <w:pPr>
        <w:ind w:firstLine="567"/>
        <w:jc w:val="both"/>
        <w:spacing w:after="0" w:line="240" w:lineRule="auto"/>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6.3. </w:t>
      </w:r>
      <w:r>
        <w:rPr>
          <w:rFonts w:ascii="Times New Roman" w:hAnsi="Times New Roman" w:cs="Times New Roman"/>
          <w:sz w:val="24"/>
          <w:szCs w:val="24"/>
        </w:rPr>
        <w:t>Цена Договора не может изменяться в ходе заключения и исполнения Договора, за исключением случаев установленных Договором и (или) предусмотренных законодательством Российской Федерации</w:t>
      </w:r>
    </w:p>
    <w:p>
      <w:pPr>
        <w:ind w:firstLine="567"/>
        <w:jc w:val="both"/>
        <w:spacing w:after="0" w:line="240" w:lineRule="auto"/>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6.4. Расчеты по настоящему Контракту производятся платежными поручениями на расчетный счет Огранизации водопроводно-канализационного хозяйства. Датой оплаты считается дата посупления денежных средств на расчетный счет Огранизации водопроводно-канализационного хозяйства.</w:t>
      </w:r>
    </w:p>
    <w:p>
      <w:pPr>
        <w:ind w:firstLine="567"/>
        <w:jc w:val="both"/>
        <w:spacing w:after="0" w:line="240" w:lineRule="auto"/>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6.5. Расчетный период, установленный настоящим Договором, равен одному календарному месяцу. </w:t>
      </w:r>
    </w:p>
    <w:p>
      <w:pPr>
        <w:ind w:firstLine="567"/>
        <w:jc w:val="both"/>
        <w:spacing w:after="0" w:line="240" w:lineRule="auto"/>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Оплата ресурсов по водоснабжению производится в следующем порядке: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rFonts w:ascii="Times New Roman" w:hAnsi="Times New Roman" w:cs="Times New Roman"/>
          <w:sz w:val="24"/>
          <w:szCs w:val="24"/>
        </w:rPr>
        <w:t xml:space="preserve">30 процентов плановой общей стоимости </w:t>
      </w:r>
      <w:r>
        <w:rPr>
          <w:lang w:eastAsia="ru-RU"/>
          <w:rFonts w:ascii="Times New Roman" w:eastAsia="Times New Roman" w:hAnsi="Times New Roman" w:cs="Times New Roman"/>
          <w:sz w:val="24"/>
          <w:szCs w:val="24"/>
          <w:highlight w:val="none"/>
          <w:spacing w:val="2"/>
        </w:rPr>
        <w:t>объема воды</w:t>
      </w:r>
      <w:r>
        <w:rPr>
          <w:rFonts w:ascii="Times New Roman" w:hAnsi="Times New Roman" w:cs="Times New Roman"/>
          <w:sz w:val="24"/>
          <w:szCs w:val="24"/>
        </w:rPr>
        <w:t>, потребляемой в месяце, за который осуществляется плата, вносится до 18 числа текущего месяца;</w:t>
      </w:r>
      <w:r>
        <w:rPr>
          <w:rFonts w:ascii="Times New Roman" w:hAnsi="Times New Roman" w:cs="Times New Roman"/>
          <w:sz w:val="24"/>
          <w:szCs w:val="24"/>
          <w:rtl w:val="off"/>
        </w:rPr>
        <w:t xml:space="preserve"> </w:t>
      </w:r>
      <w:r>
        <w:rPr>
          <w:lang w:eastAsia="ru-RU"/>
          <w:rFonts w:ascii="Times New Roman" w:eastAsia="Times New Roman" w:hAnsi="Times New Roman" w:cs="Times New Roman"/>
          <w:sz w:val="24"/>
          <w:szCs w:val="24"/>
          <w:spacing w:val="2"/>
        </w:rPr>
        <w:t>оплата за фактически поданную в истекшем месяце холодную воду с учетом средств, ранее внесенных абонентом в качестве оплаты за холодную воду в расчетном периоде, осуществляется до 10-го числа месяца, следующего за месяцем, за который осуществляется оплата, на основании счетов, выставляемых к оплате организацией водопроводно-канализационного хозяйства не позднее 5-го числа месяца, следующего за расчетным месяцем.</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В случае если объем фактического потребления холодной воды за истекший месяц, определенный в соответствии с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организации коммерческого учета воды, сточных вод</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утвержденными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постановлением Правительства Российской Федерации от 4 сентября 2013 года № 776 "Об утверждении Правил организации коммерческого учета воды, сточных вод"</w:t>
      </w:r>
      <w:r>
        <w:rPr>
          <w:lang w:eastAsia="ru-RU"/>
          <w:rFonts w:ascii="Times New Roman" w:eastAsia="Times New Roman" w:hAnsi="Times New Roman" w:cs="Times New Roman"/>
          <w:sz w:val="24"/>
          <w:szCs w:val="24"/>
          <w:spacing w:val="2"/>
        </w:rPr>
        <w:fldChar w:fldCharType="end"/>
      </w:r>
      <w:r>
        <w:t xml:space="preserve"> </w:t>
      </w:r>
      <w:r>
        <w:rPr>
          <w:lang w:eastAsia="ru-RU"/>
          <w:rFonts w:ascii="Times New Roman" w:eastAsia="Times New Roman" w:hAnsi="Times New Roman" w:cs="Times New Roman"/>
          <w:sz w:val="24"/>
          <w:szCs w:val="24"/>
          <w:spacing w:val="2"/>
        </w:rPr>
        <w:t>(далее -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"http://docs.cntd.ru/document/499042850"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 организации коммерческого учета воды, сточных вод</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окажется меньше объема воды, за который абонентом была произведена оплата, излишне уплаченная сумма засчитывается в счет последующего платежа за следующий месяц.</w:t>
      </w:r>
    </w:p>
    <w:p>
      <w:pPr>
        <w:ind w:firstLine="567"/>
        <w:jc w:val="both"/>
        <w:spacing w:after="0" w:line="240" w:lineRule="auto"/>
        <w:rPr>
          <w:lang w:eastAsia="ru-RU"/>
          <w:rFonts w:ascii="Times New Roman" w:eastAsia="Times New Roman" w:hAnsi="Times New Roman" w:cs="Times New Roman"/>
          <w:sz w:val="24"/>
          <w:szCs w:val="24"/>
          <w:spacing w:val="2"/>
        </w:rPr>
      </w:pPr>
      <w:r>
        <w:rPr>
          <w:rFonts w:ascii="Times New Roman" w:hAnsi="Times New Roman" w:cs="Times New Roman"/>
          <w:sz w:val="24"/>
          <w:szCs w:val="24"/>
        </w:rPr>
        <w:t>Счета-фактуры выставляются Исполнителем в адрес Абонента в соответствии нормами действующего законодательства.</w:t>
      </w:r>
    </w:p>
    <w:p>
      <w:pPr>
        <w:ind w:firstLine="567"/>
        <w:jc w:val="both"/>
        <w:spacing w:after="0" w:line="240" w:lineRule="auto"/>
        <w:rPr>
          <w:lang w:eastAsia="ru-RU"/>
          <w:rFonts w:ascii="Times New Roman" w:eastAsia="Times New Roman" w:hAnsi="Times New Roman" w:cs="Times New Roman"/>
          <w:sz w:val="24"/>
          <w:szCs w:val="24"/>
          <w:spacing w:val="2"/>
        </w:rPr>
      </w:pPr>
      <w:r>
        <w:rPr>
          <w:rFonts w:ascii="Times New Roman" w:hAnsi="Times New Roman" w:cs="Times New Roman"/>
          <w:sz w:val="24"/>
          <w:szCs w:val="24"/>
        </w:rPr>
        <w:t>Оплата ресурсов по водоснабжению за декабрь месяц производится Абонентом в следующем порядке: 20 декабря выставляется счет на предоплату по фактическим данным счетчиков, переданных Абонентом до 20 декабря. Счета-фактуры за декабрь месяц выставляются Организацией водопроводно-канализационного хозяйства в адрес Абонента 31 декабря.</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highlight w:val="yellow"/>
          <w:spacing w:val="2"/>
        </w:rPr>
      </w:pPr>
      <w:r>
        <w:rPr>
          <w:lang w:eastAsia="ru-RU"/>
          <w:rFonts w:ascii="Times New Roman" w:eastAsia="Times New Roman" w:hAnsi="Times New Roman" w:cs="Times New Roman"/>
          <w:sz w:val="24"/>
          <w:szCs w:val="24"/>
          <w:spacing w:val="2"/>
        </w:rPr>
        <w:t>6.6. Сверка расчетов по настоящему Договору проводится между организацией водопроводно-канализационного хозяйства и абонентом не реже чем 1 раз в квартал либо по инициативе одной из сторон путем составления и подписания сторонами соответствующего акта. Сторона настоящего Договора, инициирующая проведение сверки расчетов, уведомляет другую сторону о дате проведения сверки расчетов не менее чем за 5 рабочих дней до даты ее проведения. В случае неявки стороны к указанному сроку для проведения сверки расчетов сторона, инициирующая проведение сверки расчетов, составляет и направляет другой стороне акт о сверке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срок на подписание акта сверки расчетов устанавливается в течение 3 рабочих дней со дня его получения. В случае неполучения ответа в течение более 10 рабочих дней после направления стороне акта о сверке расчетов акт считается признанным (согласованным) обеими сторонами.</w:t>
      </w:r>
    </w:p>
    <w:p>
      <w:pPr>
        <w:ind w:firstLine="709"/>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7. ПОРЯДОК КОНТРОЛЯ КАЧЕСТВА ХОЛОДНОЙ (ПИТЬЕВОЙ) ВОДЫ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7.1. Производственный контроль качества холодной (питьевой) воды, подаваемой абоненту с использованием централизованных систем водоснабжения, осуществляется в соответствии с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"http://docs.cntd.ru/document/420244203"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Правилами осуществления производственного контроля качества и безопасности питьевой воды, горячей воды</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 утвержденными </w:t>
      </w:r>
      <w:r>
        <w:rPr>
          <w:lang w:eastAsia="ru-RU"/>
          <w:rFonts w:ascii="Times New Roman" w:eastAsia="Times New Roman" w:hAnsi="Times New Roman" w:cs="Times New Roman"/>
          <w:sz w:val="24"/>
          <w:szCs w:val="24"/>
          <w:spacing w:val="2"/>
        </w:rPr>
        <w:fldChar w:fldCharType="begin"/>
      </w:r>
      <w:r>
        <w:rPr>
          <w:lang w:eastAsia="ru-RU"/>
          <w:rFonts w:ascii="Times New Roman" w:eastAsia="Times New Roman" w:hAnsi="Times New Roman" w:cs="Times New Roman"/>
          <w:sz w:val="24"/>
          <w:szCs w:val="24"/>
          <w:spacing w:val="2"/>
        </w:rPr>
        <w:instrText xml:space="preserve"> HYPERLINK "http://docs.cntd.ru/document/420244203" </w:instrText>
      </w:r>
      <w:r>
        <w:rPr>
          <w:lang w:eastAsia="ru-RU"/>
          <w:rFonts w:ascii="Times New Roman" w:eastAsia="Times New Roman" w:hAnsi="Times New Roman" w:cs="Times New Roman"/>
          <w:sz w:val="24"/>
          <w:szCs w:val="24"/>
          <w:spacing w:val="2"/>
        </w:rPr>
        <w:fldChar w:fldCharType="separate"/>
      </w:r>
      <w:r>
        <w:rPr>
          <w:lang w:eastAsia="ru-RU"/>
          <w:rFonts w:ascii="Times New Roman" w:eastAsia="Times New Roman" w:hAnsi="Times New Roman" w:cs="Times New Roman"/>
          <w:sz w:val="24"/>
          <w:szCs w:val="24"/>
          <w:spacing w:val="2"/>
        </w:rPr>
        <w:t>постановлением Правительства Российской Федерации от 6 января 2015 года № 10 "О порядке осуществления производственного контроля качества и безопасности питьевой воды, горячей воды"</w:t>
      </w:r>
      <w:r>
        <w:rPr>
          <w:lang w:eastAsia="ru-RU"/>
          <w:rFonts w:ascii="Times New Roman" w:eastAsia="Times New Roman" w:hAnsi="Times New Roman" w:cs="Times New Roman"/>
          <w:sz w:val="24"/>
          <w:szCs w:val="24"/>
          <w:spacing w:val="2"/>
        </w:rPr>
        <w:fldChar w:fldCharType="end"/>
      </w:r>
      <w:r>
        <w:rPr>
          <w:lang w:eastAsia="ru-RU"/>
          <w:rFonts w:ascii="Times New Roman" w:eastAsia="Times New Roman" w:hAnsi="Times New Roman" w:cs="Times New Roman"/>
          <w:sz w:val="24"/>
          <w:szCs w:val="24"/>
          <w:spacing w:val="2"/>
        </w:rPr>
        <w:t>.</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7.2.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холодной (питьевой) воды установленным требованиям, за исключением показателей качества холодной (питьевой) воды, характеризующих ее безопасность, при этом оно должно соответствовать пределам, определенным планом мероприятий по приведению качества холодной (питьевой) воды в соответствие с установленными требованиями.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Качество подаваемой холодной (технической) воды должно соответствовать требованиям, установленным настоящим Контрактом.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tl w:val="off"/>
        </w:rPr>
      </w:pPr>
      <w:r>
        <w:rPr>
          <w:lang w:eastAsia="ru-RU"/>
          <w:rFonts w:ascii="Times New Roman" w:eastAsia="Times New Roman" w:hAnsi="Times New Roman" w:cs="Times New Roman"/>
          <w:sz w:val="24"/>
          <w:szCs w:val="24"/>
          <w:spacing w:val="2"/>
        </w:rPr>
        <w:t>7.3. Абонент имеет право в любое время в течение срока действия настоящего Договора самостоятельно отобрать пробы холодной (питьевой) воды для проведения лабораторного анализа ее качества и направить их для лабораторных испытаний в организации, аккредитованные в порядке, установленном законодательством Российской Федерации. Отбор проб холодной (питьевой) воды, в том числе отбор параллельных проб, должен производиться в порядке, предусмотренном законодательством Российской Федерации. Абонент обязан известить организацию водопроводно-канализационного хозяйства о времени и месте отбора проб холодной (питьевой) воды не позднее 3 суток до проведения отбора.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highlight w:val="yellow"/>
          <w:spacing w:val="2"/>
        </w:rPr>
      </w:pPr>
    </w:p>
    <w:p>
      <w:pPr>
        <w:ind w:firstLine="709"/>
        <w:outlineLvl w:val="2"/>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8. ПОРЯДОК УРЕГУЛИРОВАНИЯ СПОРОВ И РАЗНОГЛАСИЙ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8.1.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8.2. Претензия направляется по адресу стороны, указанному в реквизитах Договора, и должна содержать:</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а) сведения о заявителе (наименование, местонахождение, адрес);</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б) содержание спора и разногласий;</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г) другие сведения по усмотрению стороны.</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8.3. Сторона, получившая претензию, в течение 5 рабочих дней со дня ее получения обязана рассмотреть претензию и дать ответ.</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8.4. Стороны составляют акт об урегулировании разногласий.</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highlight w:val="yellow"/>
          <w:spacing w:val="2"/>
        </w:rPr>
      </w:pPr>
      <w:r>
        <w:rPr>
          <w:lang w:eastAsia="ru-RU"/>
          <w:rFonts w:ascii="Times New Roman" w:eastAsia="Times New Roman" w:hAnsi="Times New Roman" w:cs="Times New Roman"/>
          <w:sz w:val="24"/>
          <w:szCs w:val="24"/>
          <w:spacing w:val="2"/>
        </w:rPr>
        <w:t>8.5. В случае недостижения сторонами согласия разногласия, возникшие из настоящего Договора, подлежат урегулированию в суде в порядке, установленном законодательством Российской Федерации.</w:t>
      </w:r>
    </w:p>
    <w:p>
      <w:pPr>
        <w:ind w:firstLine="709"/>
        <w:outlineLvl w:val="2"/>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9. ОТВЕТСТВЕННОСТЬ СТОРОН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9.1.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9.2. В случае нарушения организацией водопроводно-канализационного хозяйства требований к качеству питьевой воды, режима подачи холодной воды,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Ответственность организации водопроводно-канализационного хозяйства за качество подаваемой холодной (питьевой) воды определяется до границы эксплуатационной ответственности по водопроводным сетям абонента и организации водопроводно-канализационного хозяйства, установленной в соответствии с актом разграничения эксплуатационной ответственности.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9.3.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пени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со следующего дня после дня наступления установленного срока оплаты по день фактической оплаты.</w:t>
      </w:r>
    </w:p>
    <w:p>
      <w:pPr>
        <w:ind w:firstLine="709"/>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10. ОБСТОЯТЕЛЬСТВО НЕПРЕОДОЛИМОЙ СИЛЫ </w:t>
      </w:r>
    </w:p>
    <w:p>
      <w:pPr>
        <w:ind w:firstLine="709"/>
        <w:jc w:val="center"/>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10.1.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0"/>
          <w:szCs w:val="20"/>
          <w:highlight w:val="yellow"/>
          <w:spacing w:val="2"/>
        </w:rPr>
      </w:pPr>
      <w:r>
        <w:rPr>
          <w:lang w:eastAsia="ru-RU"/>
          <w:rFonts w:ascii="Times New Roman" w:eastAsia="Times New Roman" w:hAnsi="Times New Roman" w:cs="Times New Roman"/>
          <w:sz w:val="24"/>
          <w:szCs w:val="24"/>
          <w:spacing w:val="2"/>
        </w:rPr>
        <w:t>10.2. Сторона, подвергшаяся действию обстоятельств непреодолимой силы, обязана без промедления (не позднее 24 часов) уведомить другую сторону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о наступлении и характере указанных обстоятельств, а также об их прекращении.</w:t>
      </w:r>
    </w:p>
    <w:p>
      <w:pPr>
        <w:outlineLvl w:val="2"/>
        <w:jc w:val="center"/>
        <w:shd w:val="clear" w:color="auto" w:fill="FFFFFF"/>
        <w:spacing w:after="0" w:line="240" w:lineRule="auto"/>
        <w:textAlignment w:val="baseline"/>
        <w:rPr>
          <w:lang w:eastAsia="ru-RU"/>
          <w:rFonts w:ascii="Times New Roman" w:eastAsia="Times New Roman" w:hAnsi="Times New Roman" w:cs="Times New Roman"/>
          <w:b/>
          <w:sz w:val="24"/>
          <w:szCs w:val="24"/>
          <w:spacing w:val="2"/>
        </w:rPr>
      </w:pPr>
      <w:r>
        <w:rPr>
          <w:lang w:eastAsia="ru-RU"/>
          <w:rFonts w:ascii="Times New Roman" w:eastAsia="Times New Roman" w:hAnsi="Times New Roman" w:cs="Times New Roman"/>
          <w:b/>
          <w:sz w:val="24"/>
          <w:szCs w:val="24"/>
          <w:spacing w:val="2"/>
        </w:rPr>
        <w:t xml:space="preserve">11. СРОК ДЕЙСТВИЯ ДОГОВОРА </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spacing w:val="2"/>
        </w:rPr>
      </w:pPr>
      <w:r>
        <w:rPr>
          <w:lang w:eastAsia="ru-RU"/>
          <w:rFonts w:ascii="Times New Roman" w:eastAsia="Times New Roman" w:hAnsi="Times New Roman" w:cs="Times New Roman"/>
          <w:sz w:val="24"/>
          <w:szCs w:val="24"/>
          <w:spacing w:val="2"/>
        </w:rPr>
        <w:t xml:space="preserve">11.3. Настоящий Договор вступает в силу с даты его подписания уполномоченными представителями Сторон и распространяет свое действие на правоотношения возникшие с </w:t>
      </w:r>
      <w:r>
        <w:rPr>
          <w:lang w:eastAsia="ru-RU"/>
          <w:rFonts w:ascii="Times New Roman" w:eastAsia="Times New Roman" w:hAnsi="Times New Roman" w:cs="Times New Roman"/>
          <w:sz w:val="24"/>
          <w:szCs w:val="24"/>
          <w:spacing w:val="2"/>
          <w:rtl w:val="off"/>
        </w:rPr>
        <w:t>_____</w:t>
      </w:r>
      <w:r>
        <w:rPr>
          <w:lang w:eastAsia="ru-RU"/>
          <w:rFonts w:ascii="Times New Roman" w:eastAsia="Times New Roman" w:hAnsi="Times New Roman" w:cs="Times New Roman"/>
          <w:sz w:val="24"/>
          <w:szCs w:val="24"/>
          <w:spacing w:val="2"/>
        </w:rPr>
        <w:t xml:space="preserve"> по </w:t>
      </w:r>
      <w:r>
        <w:rPr>
          <w:lang w:eastAsia="ru-RU"/>
          <w:rFonts w:ascii="Times New Roman" w:eastAsia="Times New Roman" w:hAnsi="Times New Roman" w:cs="Times New Roman"/>
          <w:sz w:val="24"/>
          <w:szCs w:val="24"/>
          <w:spacing w:val="2"/>
          <w:rtl w:val="off"/>
        </w:rPr>
        <w:t>_________</w:t>
      </w:r>
      <w:r>
        <w:rPr>
          <w:lang w:eastAsia="ru-RU"/>
          <w:rFonts w:ascii="Times New Roman" w:eastAsia="Times New Roman" w:hAnsi="Times New Roman" w:cs="Times New Roman"/>
          <w:sz w:val="24"/>
          <w:szCs w:val="24"/>
          <w:spacing w:val="2"/>
        </w:rPr>
        <w:t xml:space="preserve"> года.</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Действие настоящего Договора прекращается досрочно в случае утраты Абонентом прав на объект, в отношении которого в рамках настоящего Договора осуществляется водоснабжение. При прекращении прав на обслуживаемый объект датой окончания срока действия настоящего Договора является последняя дата законного владения (пользования, распоряжения) Абонентом объектом.</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11.2. Взаимоотношения Сторон, не урегулированные или не полностью урегулированные настоящим Договором, регулируются в соответствии с действующим законодательством РФ.</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11.3. Любые изменения и дополнения к настоящему Договору оформляются дополнительным соглашением за подписью уполномоченных представителей Сторон.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11.4. Настоящий Договор составлен в двух экземплярах, имеющих равную юридическую силу, по одному для каждой из Сторон.</w:t>
      </w:r>
    </w:p>
    <w:p>
      <w:pPr>
        <w:ind w:firstLine="567"/>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11.5. Приложения к настоящему Договору:</w:t>
      </w:r>
    </w:p>
    <w:p>
      <w:pPr>
        <w:spacing w:after="0" w:line="0" w:lineRule="atLeast"/>
        <w:rPr>
          <w:rFonts w:ascii="Times New Roman" w:hAnsi="Times New Roman" w:cs="Times New Roman"/>
          <w:sz w:val="24"/>
          <w:szCs w:val="24"/>
        </w:rPr>
      </w:pPr>
      <w:r>
        <w:rPr>
          <w:lang w:eastAsia="ru-RU"/>
          <w:rFonts w:ascii="Times New Roman" w:eastAsia="Times New Roman" w:hAnsi="Times New Roman"/>
          <w:sz w:val="24"/>
          <w:szCs w:val="24"/>
          <w:spacing w:val="2"/>
        </w:rPr>
        <w:t xml:space="preserve">- "Величины по водоснабжению" </w:t>
      </w:r>
      <w:r>
        <w:rPr>
          <w:rFonts w:ascii="Times New Roman" w:eastAsia="Times New Roman" w:hAnsi="Times New Roman" w:cs="Times New Roman"/>
          <w:sz w:val="24"/>
          <w:szCs w:val="24"/>
        </w:rPr>
        <w:t>(Приложение № 1);</w:t>
      </w:r>
    </w:p>
    <w:p>
      <w:pPr>
        <w:spacing w:after="0" w:line="0" w:lineRule="atLeast"/>
        <w:rPr>
          <w:rFonts w:ascii="Times New Roman" w:hAnsi="Times New Roman" w:cs="Times New Roman"/>
          <w:sz w:val="24"/>
          <w:szCs w:val="24"/>
        </w:rPr>
      </w:pPr>
      <w:r>
        <w:rPr>
          <w:rFonts w:ascii="Times New Roman" w:hAnsi="Times New Roman" w:cs="Times New Roman"/>
          <w:sz w:val="24"/>
          <w:szCs w:val="24"/>
        </w:rPr>
        <w:t xml:space="preserve">- Копия Приказа РСТ ХМАО-Югры от </w:t>
      </w:r>
      <w:r>
        <w:rPr>
          <w:rFonts w:ascii="Times New Roman" w:hAnsi="Times New Roman" w:cs="Times New Roman"/>
          <w:sz w:val="24"/>
          <w:szCs w:val="24"/>
          <w:rtl w:val="off"/>
        </w:rPr>
        <w:t>_________________</w:t>
      </w:r>
      <w:r>
        <w:rPr>
          <w:rFonts w:ascii="Times New Roman" w:hAnsi="Times New Roman" w:cs="Times New Roman"/>
          <w:sz w:val="24"/>
          <w:szCs w:val="24"/>
        </w:rPr>
        <w:t xml:space="preserve"> (Приложение № 2);</w:t>
      </w:r>
    </w:p>
    <w:p>
      <w:pPr>
        <w:ind w:firstLine="709"/>
        <w:jc w:val="both"/>
        <w:shd w:val="clear" w:color="auto" w:fill="FFFFFF"/>
        <w:spacing w:after="0" w:line="240" w:lineRule="auto"/>
        <w:textAlignment w:val="baseline"/>
        <w:rPr>
          <w:lang w:eastAsia="ru-RU"/>
          <w:rFonts w:ascii="Times New Roman" w:eastAsia="Times New Roman" w:hAnsi="Times New Roman" w:cs="Times New Roman"/>
          <w:sz w:val="24"/>
          <w:szCs w:val="24"/>
          <w:highlight w:val="yellow"/>
          <w:spacing w:val="2"/>
        </w:rPr>
      </w:pPr>
    </w:p>
    <w:p>
      <w:pPr>
        <w:ind w:firstLine="709"/>
        <w:jc w:val="cente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ЮРИДИЧЕСКИЕ АДРЕСА И РЕКВИЗИТЫ СТОРОН </w:t>
      </w:r>
    </w:p>
    <w:tbl>
      <w:tblPr>
        <w:tblW w:w="0" w:type="auto"/>
        <w:tblLook w:val="04A0" w:firstRow="1" w:lastRow="0" w:firstColumn="1" w:lastColumn="0" w:noHBand="0" w:noVBand="1"/>
      </w:tblPr>
      <w:tblGrid>
        <w:gridCol w:w="4785"/>
        <w:gridCol w:w="4786"/>
      </w:tblGrid>
      <w:tr>
        <w:tc>
          <w:tcPr>
            <w:tcW w:w="4785" w:type="dxa"/>
          </w:tcPr>
          <w:p>
            <w:pPr>
              <w:jc w:val="center"/>
              <w:spacing w:after="0" w:line="240" w:lineRule="auto"/>
              <w:rPr>
                <w:rFonts w:ascii="Times New Roman" w:eastAsiaTheme="minorHAnsi" w:hAnsi="Times New Roman" w:cs="Times New Roman"/>
                <w:b/>
                <w:sz w:val="24"/>
                <w:szCs w:val="24"/>
              </w:rPr>
            </w:pPr>
            <w:r>
              <w:rPr>
                <w:rFonts w:ascii="Times New Roman" w:eastAsiaTheme="minorHAnsi" w:hAnsi="Times New Roman" w:cs="Times New Roman"/>
                <w:b/>
                <w:sz w:val="24"/>
                <w:szCs w:val="24"/>
              </w:rPr>
              <w:t>Организация водопроводно-канализационного хозяйства:</w:t>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ООО «ПриобьСтройГарант»</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Юридический адрес:</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628109, Россия, Тюменская область,</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 xml:space="preserve"> </w:t>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Ханты-Мансийский автономный округ-Югра, Октябрьский район,</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с. Перегребное, ул. Строителей, 51</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ИНН 8614000871 </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КПП 861401001</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ОГРН 1168617052757</w:t>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ab/>
            </w:r>
            <w:r>
              <w:rPr>
                <w:rFonts w:ascii="Times New Roman" w:eastAsiaTheme="minorHAnsi" w:hAnsi="Times New Roman" w:cs="Times New Roman"/>
                <w:sz w:val="24"/>
                <w:szCs w:val="24"/>
              </w:rPr>
              <w:t xml:space="preserve"> </w:t>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р/счет 40702810967460001081</w:t>
            </w:r>
            <w:r>
              <w:rPr>
                <w:rFonts w:ascii="Times New Roman" w:eastAsiaTheme="minorHAnsi" w:hAnsi="Times New Roman" w:cs="Times New Roman"/>
                <w:sz w:val="24"/>
                <w:szCs w:val="24"/>
              </w:rPr>
              <w:tab/>
            </w:r>
          </w:p>
          <w:p>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к/счет 30101810800000000651</w:t>
            </w:r>
            <w:r>
              <w:rPr>
                <w:rFonts w:ascii="Times New Roman" w:eastAsiaTheme="minorHAnsi" w:hAnsi="Times New Roman" w:cs="Times New Roman"/>
                <w:sz w:val="24"/>
                <w:szCs w:val="24"/>
              </w:rPr>
              <w:tab/>
            </w:r>
          </w:p>
          <w:p>
            <w:pPr>
              <w:jc w:val="both"/>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Ханты-Мансийское ОСБ № 1791 Западно-Сибирского банка СБ РФ </w:t>
            </w:r>
          </w:p>
          <w:p>
            <w:pPr>
              <w:jc w:val="both"/>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БИК 047102651</w:t>
            </w:r>
          </w:p>
        </w:tc>
        <w:tc>
          <w:tcPr>
            <w:tcW w:w="4786" w:type="dxa"/>
          </w:tcPr>
          <w:p>
            <w:pPr>
              <w:jc w:val="center"/>
              <w:spacing w:after="0" w:line="240" w:lineRule="auto"/>
              <w:rPr>
                <w:rFonts w:ascii="Times New Roman" w:eastAsiaTheme="minorHAnsi" w:hAnsi="Times New Roman" w:cs="Times New Roman"/>
                <w:b/>
                <w:sz w:val="24"/>
                <w:szCs w:val="24"/>
              </w:rPr>
            </w:pPr>
            <w:r>
              <w:rPr>
                <w:rFonts w:ascii="Times New Roman" w:eastAsiaTheme="minorHAnsi" w:hAnsi="Times New Roman" w:cs="Times New Roman"/>
                <w:b/>
                <w:sz w:val="24"/>
                <w:szCs w:val="24"/>
              </w:rPr>
              <w:t>Абонент:</w:t>
            </w:r>
          </w:p>
          <w:p>
            <w:pPr>
              <w:jc w:val="center"/>
              <w:spacing w:after="0" w:line="240" w:lineRule="auto"/>
              <w:rPr>
                <w:rFonts w:ascii="Times New Roman" w:eastAsiaTheme="minorHAnsi" w:hAnsi="Times New Roman" w:cs="Times New Roman"/>
                <w:b/>
                <w:sz w:val="24"/>
                <w:szCs w:val="24"/>
              </w:rPr>
            </w:pPr>
          </w:p>
          <w:p>
            <w:pPr>
              <w:spacing w:after="0" w:line="240" w:lineRule="auto"/>
            </w:pPr>
          </w:p>
          <w:p>
            <w:pPr>
              <w:spacing w:after="0" w:line="240" w:lineRule="auto"/>
              <w:rPr>
                <w:rFonts w:ascii="Times New Roman" w:eastAsiaTheme="minorHAnsi" w:hAnsi="Times New Roman" w:cs="Times New Roman"/>
                <w:b/>
                <w:sz w:val="24"/>
                <w:szCs w:val="24"/>
              </w:rPr>
            </w:pPr>
          </w:p>
        </w:tc>
      </w:tr>
    </w:tbl>
    <w:p>
      <w:pPr>
        <w:outlineLvl w:val="2"/>
        <w:jc w:val="center"/>
        <w:shd w:val="clear" w:color="auto" w:fill="FFFFFF"/>
        <w:spacing w:after="225" w:before="375" w:line="240" w:lineRule="auto"/>
        <w:textAlignment w:val="baseline"/>
        <w:rPr>
          <w:lang w:eastAsia="ru-RU"/>
          <w:rFonts w:ascii="Times New Roman" w:eastAsia="Times New Roman" w:hAnsi="Times New Roman" w:cs="Times New Roman"/>
          <w:sz w:val="24"/>
          <w:szCs w:val="24"/>
          <w:spacing w:val="2"/>
        </w:rPr>
      </w:pPr>
    </w:p>
    <w:tbl>
      <w:tblPr>
        <w:tblW w:w="0" w:type="auto"/>
        <w:tblLook w:val="04A0" w:firstRow="1" w:lastRow="0" w:firstColumn="1" w:lastColumn="0" w:noHBand="0" w:noVBand="1"/>
      </w:tblPr>
      <w:tblGrid>
        <w:gridCol w:w="4794"/>
        <w:gridCol w:w="4777"/>
      </w:tblGrid>
      <w:tr>
        <w:trPr>
          <w:trHeight w:val="87" w:hRule="atLeast"/>
        </w:trPr>
        <w:tc>
          <w:tcPr>
            <w:tcW w:w="4794" w:type="dxa"/>
          </w:tcPr>
          <w:p>
            <w:pPr>
              <w:spacing w:after="0" w:line="240" w:lineRule="auto"/>
              <w:rPr>
                <w:rFonts w:ascii="Times New Roman" w:eastAsiaTheme="minorHAnsi" w:hAnsi="Times New Roman" w:cs="Times New Roman"/>
                <w:sz w:val="24"/>
              </w:rPr>
            </w:pPr>
            <w:r>
              <w:rPr>
                <w:rFonts w:ascii="Times New Roman" w:eastAsiaTheme="minorHAnsi" w:hAnsi="Times New Roman" w:cs="Times New Roman"/>
                <w:sz w:val="24"/>
              </w:rPr>
              <w:t>Генеральный  директор</w:t>
            </w:r>
            <w:r>
              <w:rPr>
                <w:rFonts w:ascii="Times New Roman" w:eastAsiaTheme="minorHAnsi" w:hAnsi="Times New Roman" w:cs="Times New Roman"/>
                <w:sz w:val="24"/>
              </w:rPr>
              <w:tab/>
            </w:r>
            <w:r>
              <w:rPr>
                <w:rFonts w:ascii="Times New Roman" w:eastAsiaTheme="minorHAnsi" w:hAnsi="Times New Roman" w:cs="Times New Roman"/>
                <w:sz w:val="24"/>
              </w:rPr>
              <w:tab/>
            </w:r>
            <w:r>
              <w:rPr>
                <w:rFonts w:ascii="Times New Roman" w:eastAsiaTheme="minorHAnsi" w:hAnsi="Times New Roman" w:cs="Times New Roman"/>
                <w:sz w:val="24"/>
              </w:rPr>
              <w:t xml:space="preserve"> </w:t>
            </w:r>
          </w:p>
          <w:p>
            <w:pPr>
              <w:spacing w:after="0" w:line="240" w:lineRule="auto"/>
              <w:rPr>
                <w:rFonts w:ascii="Times New Roman" w:eastAsiaTheme="minorHAnsi" w:hAnsi="Times New Roman" w:cs="Times New Roman"/>
                <w:sz w:val="24"/>
              </w:rPr>
            </w:pPr>
            <w:r>
              <w:rPr>
                <w:rFonts w:ascii="Times New Roman" w:eastAsiaTheme="minorHAnsi" w:hAnsi="Times New Roman" w:cs="Times New Roman"/>
                <w:sz w:val="24"/>
              </w:rPr>
              <w:t>ООО «ПриобьСтройГарант»</w:t>
            </w:r>
            <w:r>
              <w:rPr>
                <w:rFonts w:ascii="Times New Roman" w:eastAsiaTheme="minorHAnsi" w:hAnsi="Times New Roman" w:cs="Times New Roman"/>
                <w:sz w:val="24"/>
              </w:rPr>
              <w:tab/>
            </w:r>
            <w:r>
              <w:rPr>
                <w:rFonts w:ascii="Times New Roman" w:eastAsiaTheme="minorHAnsi" w:hAnsi="Times New Roman" w:cs="Times New Roman"/>
                <w:sz w:val="24"/>
              </w:rPr>
              <w:tab/>
            </w:r>
          </w:p>
          <w:p>
            <w:pPr>
              <w:spacing w:after="0" w:line="240" w:lineRule="auto"/>
              <w:rPr>
                <w:rFonts w:ascii="Times New Roman" w:eastAsiaTheme="minorHAnsi" w:hAnsi="Times New Roman" w:cs="Times New Roman"/>
                <w:sz w:val="24"/>
              </w:rPr>
            </w:pPr>
            <w:r>
              <w:rPr>
                <w:rFonts w:ascii="Times New Roman" w:eastAsiaTheme="minorHAnsi" w:hAnsi="Times New Roman" w:cs="Times New Roman"/>
                <w:sz w:val="24"/>
              </w:rPr>
              <w:t xml:space="preserve">______________Р.Н. Петров </w:t>
            </w:r>
          </w:p>
          <w:p>
            <w:pPr>
              <w:spacing w:after="0" w:line="240" w:lineRule="auto"/>
              <w:rPr>
                <w:rFonts w:ascii="Times New Roman" w:eastAsiaTheme="minorHAnsi" w:hAnsi="Times New Roman" w:cs="Times New Roman"/>
                <w:b/>
                <w:sz w:val="24"/>
                <w:szCs w:val="24"/>
              </w:rPr>
            </w:pPr>
            <w:r>
              <w:rPr>
                <w:rFonts w:ascii="Times New Roman" w:eastAsiaTheme="minorHAnsi" w:hAnsi="Times New Roman" w:cs="Times New Roman"/>
                <w:sz w:val="24"/>
              </w:rPr>
              <w:t>М.П.</w:t>
            </w:r>
          </w:p>
        </w:tc>
        <w:tc>
          <w:tcPr>
            <w:tcW w:w="4777" w:type="dxa"/>
          </w:tcPr>
          <w:p>
            <w:pPr>
              <w:spacing w:after="0" w:line="240" w:lineRule="auto"/>
              <w:rPr>
                <w:rFonts w:ascii="Times New Roman" w:eastAsiaTheme="minorHAnsi" w:hAnsi="Times New Roman" w:cs="Times New Roman"/>
                <w:sz w:val="24"/>
              </w:rPr>
            </w:pPr>
          </w:p>
        </w:tc>
      </w:tr>
    </w:tbl>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pPr>
        <w:jc w:val="right"/>
        <w:spacing w:after="0" w:line="0" w:lineRule="atLeast"/>
        <w:rPr>
          <w:rFonts w:ascii="Times New Roman" w:eastAsia="Times New Roman" w:hAnsi="Times New Roman"/>
          <w:sz w:val="24"/>
          <w:szCs w:val="24"/>
        </w:rPr>
      </w:pPr>
    </w:p>
    <w:p/>
    <w:sectPr>
      <w:pgSz w:w="11906" w:h="16838"/>
      <w:pgMar w:top="465" w:right="754" w:bottom="807" w:left="1008" w:header="709" w:footer="709" w:gutter="0"/>
      <w:cols w:space="708"/>
      <w:docGrid w:linePitch="360"/>
      <w:footerReference w:type="default" r:id="rId1"/>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Arial">
    <w:panose1 w:val="020B0604020202020204"/>
    <w:family w:val="swiss"/>
    <w:charset w:val="cc"/>
    <w:notTrueType w:val="true"/>
    <w:sig w:usb0="E0002EFF" w:usb1="C000785B" w:usb2="00000009" w:usb3="00000001" w:csb0="400001FF" w:csb1="FFFF0000"/>
  </w:font>
  <w:font w:name="Calibri">
    <w:panose1 w:val="020F0502020204030204"/>
    <w:family w:val="swiss"/>
    <w:charset w:val="cc"/>
    <w:notTrueType w:val="true"/>
    <w:sig w:usb0="E4002EFF" w:usb1="C000247B" w:usb2="00000009" w:usb3="00000001" w:csb0="200001FF"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fa"/>
      <w:jc w:val="right"/>
      <w:pBdr>
        <w:top w:val="single" w:sz="4" w:space="1" w:color="808080"/>
      </w:pBdr>
      <w:rPr>
        <w:rFonts w:ascii="Arial" w:hAnsi="Arial"/>
        <w:color w:val="000000"/>
      </w:rPr>
    </w:pPr>
    <w:r>
      <w:rPr>
        <w:rFonts w:ascii="Arial" w:hAnsi="Arial"/>
        <w:b/>
        <w:color w:val="000000"/>
      </w:rPr>
      <w:fldChar w:fldCharType="begin"/>
    </w:r>
    <w:r>
      <w:rPr>
        <w:rFonts w:ascii="Arial" w:hAnsi="Arial"/>
        <w:b/>
        <w:color w:val="000000"/>
      </w:rPr>
      <w:instrText xml:space="preserve"> PAGE   \* MERGEFORMAT </w:instrText>
    </w:r>
    <w:r>
      <w:rPr>
        <w:rFonts w:ascii="Arial" w:hAnsi="Arial"/>
        <w:b/>
        <w:color w:val="000000"/>
      </w:rPr>
      <w:fldChar w:fldCharType="separate"/>
    </w:r>
    <w:r>
      <w:rPr>
        <w:rFonts w:ascii="Arial" w:hAnsi="Arial"/>
        <w:b/>
        <w:noProof/>
        <w:color w:val="000000"/>
      </w:rPr>
      <w:t>1</w:t>
    </w:r>
    <w:r>
      <w:rPr>
        <w:rFonts w:ascii="Arial" w:hAnsi="Arial"/>
        <w:b/>
        <w:color w:val="000000"/>
      </w:rPr>
      <w:fldChar w:fldCharType="end"/>
    </w:r>
    <w:r>
      <w:rPr>
        <w:rFonts w:ascii="Arial" w:hAnsi="Arial"/>
        <w:b/>
        <w:color w:val="000000"/>
      </w:rPr>
      <w:t>│</w:t>
    </w:r>
    <w:r>
      <w:rPr>
        <w:rFonts w:ascii="Arial" w:hAnsi="Arial"/>
        <w:color w:val="000000"/>
      </w:rPr>
      <w:t xml:space="preserve">Страница </w:t>
    </w:r>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85"/>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Calibri" w:eastAsia="Calibri" w:hAnsi="Calibri" w:cs="Arial"/>
      </w:rPr>
    </w:rPrDefault>
    <w:pPrDefault>
      <w:pPr/>
    </w:pPrDefault>
  </w:docDefaults>
  <w:style w:type="paragraph" w:default="1" w:styleId="a1">
    <w:name w:val="Normal"/>
    <w:qFormat/>
    <w:pPr>
      <w:spacing w:after="200" w:line="276" w:lineRule="auto"/>
    </w:pPr>
    <w:rPr>
      <w:lang w:eastAsia="en-US"/>
      <w:sz w:val="22"/>
      <w:szCs w:val="22"/>
    </w:rPr>
  </w:style>
  <w:style w:type="character" w:default="1" w:styleId="a2">
    <w:name w:val="Default Paragraph Font"/>
    <w:semiHidden/>
    <w:unhideWhenUsed/>
  </w:style>
  <w:style w:type="table" w:default="1" w:styleId="a3">
    <w:name w:val="Normal Table"/>
    <w:qFormat/>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styleId="affa">
    <w:name w:val="footer"/>
    <w:basedOn w:val="a1"/>
    <w:pPr>
      <w:tabs>
        <w:tab w:val="center" w:pos="4677"/>
        <w:tab w:val="right" w:pos="9355"/>
      </w:tabs>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created xsi:type="dcterms:W3CDTF">2017-01-12T08:30:00Z</dcterms:created>
  <dcterms:modified xsi:type="dcterms:W3CDTF">2020-12-19T06:19:56Z</dcterms:modified>
  <cp:lastPrinted>2020-01-14T13:10:34Z</cp:lastPrinted>
  <cp:version>0900.0000.01</cp:version>
</cp:coreProperties>
</file>